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BbgArchivG (Brandenburg) — Inkrafttreten, Außerkrafttreten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Gleichzeitig treten, soweit sie nach Artikel 9 Abs. 1 des Einigungsvertrages als Landesrecht fortgelten, die folgenden Vorschriften außer Kraft:</w:t>
      </w:r>
    </w:p>
    <w:p>
      <w:r>
        <w:t xml:space="preserve">Verordnung über das staatliche Archivwesen vom 11. März 1976 ( GBl. I Nr. 10 S. 165),</w:t>
      </w:r>
    </w:p>
    <w:p>
      <w:r>
        <w:t xml:space="preserve">Erste Durchführungsbestimmung zur Verordnung über das staatliche Archivwesen - Zuständigkeit der staatlichen Archive, Bestandsergänzung, Bewertung und Kassation - vom 19. März 1976 (GBl. I Nr. 10 S. 169),</w:t>
      </w:r>
    </w:p>
    <w:p>
      <w:r>
        <w:t xml:space="preserve">Zweite Durchführungsbestimmung zur Verordnung über das staatliche Archivwesen - Benutzungsordnung - vom 16. März 1990 (GBl. I Nr. 21 S. 193),</w:t>
      </w:r>
    </w:p>
    <w:p>
      <w:r>
        <w:t xml:space="preserve">Beschluß über die Erfassung und Auswertung der in der Deutschen Demokratischen Republik befindlichen Dokumente über die Zeit der Hitlerdiktatur vom 28. Mai1964 -Auszug - ( GBl. II Nr. 61 S. 575),</w:t>
      </w:r>
    </w:p>
    <w:p>
      <w:r>
        <w:t xml:space="preserve">Beschluß über die Mikroverfilmung von Schrift- und Zeichnungsgut vom 19. September 1972 - Auszug - (GBl. II Nr. 57 S. 625),</w:t>
      </w:r>
    </w:p>
    <w:p>
      <w:r>
        <w:t xml:space="preserve">Anordnung über die Verleihung der Titel "Oberarchivar", "Archivrat" und "Oberarchivrat" vom 1. April 1986 (GBl. I Nr. 17 S. 269).</w:t>
      </w:r>
    </w:p>
    <w:p>
      <w:r>
        <w:t xml:space="preserve">Potsdam, den 7. April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18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