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BbgArchivG (Brandenburg) — Regelungsbefugnisse</w:t>
      </w:r>
    </w:p>
    <w:p>
      <w:r>
        <w:rPr>
          <w:color w:val="555555"/>
          <w:sz w:val="18"/>
        </w:rPr>
        <w:t xml:space="preserve">Brandenburgisches Archivgesetz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das Archivwesen zuständige Mitglied der Landesregierung regelt durch Rechtsverordnung</w:t>
      </w:r>
    </w:p>
    <w:p>
      <w:r>
        <w:t xml:space="preserve">die Benutzung der Archive des Landes (Benutzungsordnung),</w:t>
      </w:r>
    </w:p>
    <w:p>
      <w:r>
        <w:t xml:space="preserve">die Erhebung von Gebühren und Auslagen bei der Benutzung der Archive des Landes (Gebührenordnung).</w:t>
      </w:r>
    </w:p>
    <w:p>
      <w:r>
        <w:t xml:space="preserve">(2) Das für das Archivwesen zuständige Mitglied der Landesregierung regelt durch Runderlaß die Auslegung einzelner Regelungen dieses Gesetzes, insbesondere in organisatorischer Hinsicht.</w:t>
      </w:r>
    </w:p>
    <w:p>
      <w:r>
        <w:t xml:space="preserve">(3) Das für das Archivwesen zuständige Mitglied der Landesregierung kann durch Rechtsverordnung dem Brandenburgischen Landeshauptarchiv andere, in sachlichem Zusammenhang mit dem Archivwesen stehende Aufgaben übertragen.</w:t>
      </w:r>
    </w:p>
    <w:p>
      <w:r>
        <w:rPr>
          <w:color w:val="555555"/>
          <w:sz w:val="17"/>
        </w:rPr>
        <w:t xml:space="preserve">Zitiervorschlag: § 17 BbgArchivG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https://recht.nulegal.eu/gesetze/BbgArchivG/17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