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BbgArchivG (Brandenburg) — Benutzung von Archivgut von Stellen des Bundes</w:t>
      </w:r>
    </w:p>
    <w:p>
      <w:r>
        <w:rPr>
          <w:color w:val="555555"/>
          <w:sz w:val="18"/>
        </w:rPr>
        <w:t xml:space="preserve">Brandenburgisches Archivgesetz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Archivgut, das gemäß § 2 Abs. 3 Satz 1 des Bundesarchivgesetzes von Stellen des Bundes dem Brandenburgischen Landeshauptarchiv oder einem anderen öffentlichen Archiv übergeben wurde, gelten § 2 Abs. 4 Satz 2 sowie die §§ 4 und 5 des Bundesarchivgesetzes entsprechend.</w:t>
      </w:r>
    </w:p>
    <w:p>
      <w:r>
        <w:t xml:space="preserve">(2) Für Archivgut, das Rechtsvorschriften des Bundes über die Geheimhaltung im Sinne der §§ 8 bis 11 des Bundesarchivgesetzes unterliegt und das von anderen als den in § 2 Abs. 1 des Bundesarchivgesetzes genannten Stellen öffentlichen Archiven übergeben wurde, gelten § 2 Abs. 4 Satz 2 und § 5 des Bundesarchivgesetzes.</w:t>
      </w:r>
    </w:p>
    <w:p>
      <w:r>
        <w:rPr>
          <w:color w:val="555555"/>
          <w:sz w:val="17"/>
        </w:rPr>
        <w:t xml:space="preserve">Zitiervorschlag: § 12 BbgArchivG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https://recht.nulegal.eu/gesetze/BbgArchivG/12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