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BbgArchivG (Brandenburg) — Einschränkung und Ausschluß der Benutzung</w:t>
      </w:r>
    </w:p>
    <w:p>
      <w:r>
        <w:rPr>
          <w:color w:val="555555"/>
          <w:sz w:val="18"/>
        </w:rPr>
        <w:t xml:space="preserve">Brandenburgisches Archivgesetz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Benutzung ist einzuschränken oder zu versagen, soweit</w:t>
      </w:r>
    </w:p>
    <w:p>
      <w:r>
        <w:t xml:space="preserve">Grund zu der Annahme besteht, daß dem Wohl der Bundesrepublik Deutschland oder eines Landes wesentliche Nachteile entstehen,</w:t>
      </w:r>
    </w:p>
    <w:p>
      <w:r>
        <w:t xml:space="preserve">schutzwürdige Belange Dritter entgegenstehen,</w:t>
      </w:r>
    </w:p>
    <w:p>
      <w:r>
        <w:t xml:space="preserve">Rechtsvorschriften über Geheimhaltung verletzt würden,</w:t>
      </w:r>
    </w:p>
    <w:p>
      <w:r>
        <w:t xml:space="preserve">der Erhaltungszustand des Archivgutes beeinträchtigt würde oder einer Benutzung entgegensteht,</w:t>
      </w:r>
    </w:p>
    <w:p>
      <w:r>
        <w:t xml:space="preserve">durch die Benutzung ein nicht vertretbarer Verwaltungsaufwand entstehen würde oder</w:t>
      </w:r>
    </w:p>
    <w:p>
      <w:r>
        <w:t xml:space="preserve">Vereinbarungen entgegenstehen, die mit Eigentümern aus Anlaß der Übernahme getroffen wurden.</w:t>
      </w:r>
    </w:p>
    <w:p>
      <w:r>
        <w:t xml:space="preserve">(2) Nach § 203 Abs. 1 und 3 des Strafgesetzbuches geschützte Unterlagen aus einer Beratertätigkeit, die als Archivgut übernommen worden sind, dürfen vor Ablauf der Schutzfristen nur in anonymisierter Form benutzt werden.</w:t>
      </w:r>
    </w:p>
    <w:p>
      <w:r>
        <w:t xml:space="preserve">(3) Die Benutzung kann an Bedingungen und Auflagen gebunden werden.</w:t>
      </w:r>
    </w:p>
    <w:p>
      <w:r>
        <w:rPr>
          <w:color w:val="555555"/>
          <w:sz w:val="17"/>
        </w:rPr>
        <w:t xml:space="preserve">Zitiervorschlag: § 11 BbgArchivG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https://recht.nulegal.eu/gesetze/BbgArchivG/11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