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BbgArchivG (Brandenburg) — Schutzfristen</w:t>
      </w:r>
    </w:p>
    <w:p>
      <w:r>
        <w:rPr>
          <w:color w:val="555555"/>
          <w:sz w:val="18"/>
        </w:rPr>
        <w:t xml:space="preserve">Brandenburgisches Archivgesetz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Archivgut darf frühestens nach Ablauf von zehn Jahren nach Entstehung der Unterlagen benutzt werden.</w:t>
      </w:r>
    </w:p>
    <w:p>
      <w:r>
        <w:t xml:space="preserve">(2) Archivgut, das besonderen Rechtsvorschriften über Geheimhaltung unterliegt, darf erst dreißig Jahre nach Entstehung der Unterlagen benutzt werden.</w:t>
      </w:r>
    </w:p>
    <w:p>
      <w:r>
        <w:t xml:space="preserve">(3) Archivgut, das sich nach seiner Zweckbestimmung oder nach seinem wesentlichen Inhalt auf eine natürliche Person bezieht (personenbezogenes Archivgut), darf frühestens zehn Jahre nach dem Tod der betroffenen Person benutzt werden. Ist das Todesjahr nicht oder nur mit unvertretbarem Aufwand feststellbar, endet die Schutzfrist neunzig Jahre nach der Geburt. Ist auch das Geburtsjahr dem Archiv nicht bekannt, endet die Schutzfrist für personenbezogenes Archivgut sechzig Jahre nach Entstehung der Unterlagen.</w:t>
      </w:r>
    </w:p>
    <w:p>
      <w:r>
        <w:t xml:space="preserve">(4) Für die Benutzung von Archivgut, das dem Sozialgeheimnis unterliegende Daten enthält, gelten die Schutzfristen des § 5 des Bundesarchivgesetzes vom 6. Januar 1988 ( BGBl. I S. 62), zuletzt geändert durch Gesetz vom 13. März 1992 (BGBl. I S. 506).</w:t>
      </w:r>
    </w:p>
    <w:p>
      <w:r>
        <w:t xml:space="preserve">(5) Die Schutzfristen nach den Absätzen 1 und 2 können im Einzelfall auf Antrag verkürzt werden, soweit das öffentliche Interesse und die §§ 11 und 12 dem nicht entgegenstehen. Die Benutzung kann dabei an Bedingungen und Auflagen gebunden werden.</w:t>
      </w:r>
    </w:p>
    <w:p>
      <w:r>
        <w:t xml:space="preserve">(6) Die in den Absätzen 1 und 2 festgelegten Schutzfristen gelten nicht für Unterlagen und Archivgut von Stellen sowie von Parteien und Massenorganisationen der Deutschen Demokratischen Republik.</w:t>
      </w:r>
    </w:p>
    <w:p>
      <w:r>
        <w:t xml:space="preserve">(7) Die in den Absätzen 1 bis 3 festgelegten Schutzfristen gelten nicht für Unterlagen, die bereits bei ihrer Entstehung zur Veröffentlichung bestimmt oder der Öffentlichkeit zugänglich waren.</w:t>
      </w:r>
    </w:p>
    <w:p>
      <w:r>
        <w:t xml:space="preserve">(8) Die in Absatz 3 festgelegten Schutzfristen gelten nicht für Archivgut, das die Tätigkeit von Personen der Zeitgeschichte und von Amtsträgern dokumentiert, soweit sie in Ausübung eines öffentlichen Amtes oder einer öffentlichen Funktion gehandelt haben und sofern sie nicht selbst Betroffene sind. Die schutzwürdigen Interessen Dritter sind angemessen zu berücksichtigen.</w:t>
      </w:r>
    </w:p>
    <w:p>
      <w:r>
        <w:t xml:space="preserve">(9) Die Schutzfristen nach Absatz 3 können verkürzt werden, wenn</w:t>
      </w:r>
    </w:p>
    <w:p>
      <w:r>
        <w:t xml:space="preserve">die betroffene Person oder nach ihrem Tod deren Kinder, Eltern oder die mit ihr durch Ehe, eingetragene Lebenspartnerschaft oder auf Dauer angelegte Lebensgemeinschaft verbunden gewesene Person in die Benutzung eingewilligt haben oder</w:t>
      </w:r>
    </w:p>
    <w:p>
      <w:r>
        <w:t xml:space="preserve">die Benutzung zur Behebung einer bestehenden Beweisnot oder aus sonstigen im rechtlichen Interesse eines Dritten liegenden Gründen unerläßlich ist oder</w:t>
      </w:r>
    </w:p>
    <w:p>
      <w:r>
        <w:t xml:space="preserve">die Benutzung für die Durchführung eines wissenschaftlichen Vorhabens erforderlich ist und wenn sichergestellt ist, daß schutzwürdige Belange der betroffenen Person und Dritter nicht beeinträchtigt werden, oder wenn das öffentliche Interesse an der Durchführung des wissenschaftlichen Vorhabens die schutzwürdigen Belange erheblich überwiegt.</w:t>
      </w:r>
    </w:p>
    <w:p>
      <w:r>
        <w:t xml:space="preserve">(10) Vor Ablauf von Schutzfristen können die öffentlichen Archive Auskünfte aus dem Archivgut erteilen, soweit die §§ 11 und 12 dem nicht entgegenstehen.</w:t>
      </w:r>
    </w:p>
    <w:p>
      <w:r>
        <w:t xml:space="preserve">(11) Die Schutzfristen können längstens um zwanzig Jahre verlängert werden, wenn dies im öffentlichen Interesse geboten ist.</w:t>
      </w:r>
    </w:p>
    <w:p>
      <w:r>
        <w:rPr>
          <w:color w:val="555555"/>
          <w:sz w:val="17"/>
        </w:rPr>
        <w:t xml:space="preserve">Zitiervorschlag: § 10 BbgArchivG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https://recht.nulegal.eu/gesetze/BbgArchivG/10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