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BbgArchivG (Brandenburg) — Anwendungsbereich</w:t>
      </w:r>
    </w:p>
    <w:p>
      <w:r>
        <w:rPr>
          <w:color w:val="555555"/>
          <w:sz w:val="18"/>
        </w:rPr>
        <w:t xml:space="preserve">Brandenburgisches Archivgesetz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Dieses Gesetz regelt die Sicherung und Nutzung von öffentlichem Archivgut und die Tätigkeit der öffentlichen Archive im Land Brandenburg.</w:t>
      </w:r>
    </w:p>
    <w:p>
      <w:r>
        <w:t xml:space="preserve">(2) Dieses Gesetz gilt nicht für die öffentlich-rechtlichen Religions- und Weltanschauungsgemeinschaften, für die öffentlich-rechtlichen Rundfunkanstalten und für öffentlich-rechtliche Unternehmen mit eigener Rechtspersönlichkeit, die am Wettbewerb teilnehmen, und deren Zusammenschlüsse.</w:t>
      </w:r>
    </w:p>
    <w:p>
      <w:r>
        <w:rPr>
          <w:color w:val="555555"/>
          <w:sz w:val="17"/>
        </w:rPr>
        <w:t xml:space="preserve">Zitiervorschlag: § 1 BbgArchivG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https://recht.nulegal.eu/gesetze/BbgArchivG/1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