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BbgArchG (Brandenburg) — Inkrafttreten, Außerkrafttreten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tritt das Brandenburgische Architektengesetz vom 8. März 2006 (GVBl. I S. 26), das zuletzt durch das Gesetz vom 10. Juli 2014 (GVBl. I Nr. 39) geändert worden ist, außer Kraft.</w:t>
      </w:r>
    </w:p>
    <w:p>
      <w:r>
        <w:t xml:space="preserve">Einzelnorm</w:t>
      </w:r>
    </w:p>
    <w:p>
      <w:r>
        <w:t xml:space="preserve">Potsdam, den 11. Januar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________________________</w:t>
      </w:r>
    </w:p>
    <w:p>
      <w:r>
        <w:t xml:space="preserve">1) Dieses Gesetz dient der Umsetzung der Richtlinie 2013/55/EU des Europäischen Parlaments und des Rates vom 20. November 2013 zur Änderung der Richtlinie 2005/36/EG über die Anerkennung von Berufsqualifikationen und der Verordnung (EU) Nr. 1024/2012 über die Verwaltungszusammenarbeit mit Hilfe des Binnenmarkt-Informationssystems („IMI-Verordnung“) (ABl. L 354 vom 28.12.2013, S. 132).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Leitlinien zu Ausbildungsinhalten 282.2 KB</w:t>
      </w:r>
    </w:p>
    <w:p>
      <w:r>
        <w:t xml:space="preserve">2</w:t>
      </w:r>
    </w:p>
    <w:p>
      <w:r>
        <w:t xml:space="preserve">Anlage 2 - Prüfraster für die Verhältnismäßigkeitsprüfung 292.6 KB</w:t>
      </w:r>
    </w:p>
    <w:p>
      <w:r>
        <w:rPr>
          <w:color w:val="555555"/>
          <w:sz w:val="17"/>
        </w:rPr>
        <w:t xml:space="preserve">Zitiervorschlag: § 36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