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BbgArchG (Brandenburg) — Rechtsverordnungen</w:t>
      </w:r>
    </w:p>
    <w:p>
      <w:r>
        <w:rPr>
          <w:color w:val="555555"/>
          <w:sz w:val="18"/>
        </w:rPr>
        <w:t xml:space="preserve">Brandenburgisches Architektengesetz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das Architektenrecht zuständige Mitglied der Landesregierung wird ermächtigt, durch Rechtsverordnung die zur Durchführung dieses Gesetzes notwendigen Vorschriften zu erlassen über</w:t>
      </w:r>
    </w:p>
    <w:p>
      <w:r>
        <w:t xml:space="preserve">die Verfahren vor dem Eintragungsausschuss sowie die für die Eintragung in die in diesem Gesetz genannten Listen und Verzeichnisse vorzulegenden oder anzuerkennenden Nachweise,</w:t>
      </w:r>
    </w:p>
    <w:p>
      <w:r>
        <w:t xml:space="preserve">den Inhalt und das Verfahren der Ausstellung Europäischer Berufsausweise einschließlich der Erstellung von und des Umgangs mit Dateien des Binnenmarkt-Informationssystems (IMI-Dateien) im Sinne des Artikels 4a Absatz 5 der Richtlinie 2005/36/EG,</w:t>
      </w:r>
    </w:p>
    <w:p>
      <w:r>
        <w:t xml:space="preserve">die inhaltliche Gestaltung und Umsetzung des gemeinsamen Ausbildungsrahmens nach Artikel 49a der Richtlinie 2005/36/EG,</w:t>
      </w:r>
    </w:p>
    <w:p>
      <w:r>
        <w:t xml:space="preserve">die Gestaltung und Durchführung von gemeinsamen Ausbildungsprüfungen nach Artikel 49b der Richtlinie 2005/36/EG und</w:t>
      </w:r>
    </w:p>
    <w:p>
      <w:r>
        <w:t xml:space="preserve">von der Architektenkammer zur zweckentsprechenden Durchführung dieses Gesetzes oder nach dem Recht der Europäischen Union wahrzunehmende weitere Aufgaben.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33 BbgArchG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