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BbgArchG (Brandenburg) — Ordnungswidrigkeiten</w:t>
      </w:r>
    </w:p>
    <w:p>
      <w:r>
        <w:rPr>
          <w:color w:val="555555"/>
          <w:sz w:val="18"/>
        </w:rPr>
        <w:t xml:space="preserve">Brandenburgisches Architektengesetz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handeln Personen, die</w:t>
      </w:r>
    </w:p>
    <w:p>
      <w:r>
        <w:t xml:space="preserve">unbefugt eine der in § 1 Absatz 1 oder Absatz 5 sowie § 7 Absatz 1 genannten Berufsbezeichnungen führen oder führen lassen oder eine Wortverbindung oder ähnliche Bezeichnung im Sinne des § 1 Absatz 6 verwenden,</w:t>
      </w:r>
    </w:p>
    <w:p>
      <w:r>
        <w:t xml:space="preserve">als nicht zur Führung einer der in § 1 genannten Berufsbezeichnungen Berechtigte zulassen, dass Dritte in Publikationen oder gewerblichen Verzeichnissen mit Bezug auf sie eine in § 1 genannte Berufsbezeichnung verwenden und trotz Aufforderung der Architektenkammer nicht innerhalb von zwei Monaten tätig werden, um dies zu unterbinden, oder</w:t>
      </w:r>
    </w:p>
    <w:p>
      <w:r>
        <w:t xml:space="preserve">keine Berufshaftpflichtversicherung im Sinne des § 10 unterhalten, obwohl sie dazu verpflichtet sind.</w:t>
      </w:r>
    </w:p>
    <w:p>
      <w:r>
        <w:t xml:space="preserve">(2) Die Ordnungswidrigkeit kann mit einer Geldbuße bis zu 30 000 Euro geahndet werden.</w:t>
      </w:r>
    </w:p>
    <w:p>
      <w:r>
        <w:t xml:space="preserve">(3) Zuständige Verwaltungsbehörde im Sinne des § 36 Absatz 1 Satz 1 des Gesetzes über Ordnungswidrigkeiten in der Fassung der Bekanntmachung vom 19. Februar 1987 (BGBl. I S. 602), das zuletzt durch Artikel 4 des Gesetzes vom 13. Mai 2015 (BGBl. I S. 706) geändert worden ist, ist die Architektenkammer. Dies gilt auch für Ordnungswidrigkeiten nach § 6 der Dienstleistungs-Informationspflichten-Verordnung vom 12. März 2010 (BGBl. I S. 267), die durch Architekten begangen werden.</w:t>
      </w:r>
    </w:p>
    <w:p>
      <w:r>
        <w:t xml:space="preserve">(4) Die festgesetzten Geldbußen und Verwarnungsgelder fließen der Architektenkammer zu. Sie hat die notwendigen Auslagen zu tragen, die einer oder einem Betroffenen nach § 105 Absatz 2 des Gesetzes über Ordnungswidrigkeiten zu erstatten sind. Die Vollstreckung der Bußgeldentscheidung bestimmt sich unbeschadet der besonderen Vorschriften des Gesetzes über Ordnungswidrigkeiten nach § 20 Absatz 3.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32 BbgArchG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https://recht.nulegal.eu/gesetze/BbgArchG/32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