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BbgArchG (Brandenburg) — Ehrenverfahren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schuldhafte Verletzung von Berufspflichten wird in einem förmlichen Ehrenverfahren vor dem Ehrenausschuss geahndet. Politische, wissenschaftliche und künstlerische oder religiöse Ansichten und Handlungen können nicht Gegenstand eines Ehrenverfahrens sein. Dem Ehrenverfahren unterliegen nicht Personen, die dem öffentlichen Dienst angehören hinsichtlich ihrer dienstlichen Tätigkeit, und Personen, soweit sie als Beliehene öffentliche Aufgaben wahrnehmen.</w:t>
      </w:r>
    </w:p>
    <w:p>
      <w:r>
        <w:t xml:space="preserve">(2) Einen Antrag auf Einleitung eines Ehrenverfahrens kann stellen:</w:t>
      </w:r>
    </w:p>
    <w:p>
      <w:r>
        <w:t xml:space="preserve">eine betroffene Person gegen sich selbst oder</w:t>
      </w:r>
    </w:p>
    <w:p>
      <w:r>
        <w:t xml:space="preserve">der Vorstand der Architektenkammer.</w:t>
      </w:r>
    </w:p>
    <w:p>
      <w:r>
        <w:t xml:space="preserve">(3) Ist wegen desselben Sachverhalts die öffentliche Klage im strafgerichtlichen Verfahren erhoben worden, kann ein Ehrenverfahren zwar eingeleitet werden, es muss aber bis zur Beendigung des Strafverfahrens ausgesetzt werden. Das Gleiche gilt, wenn während des Ehrenverfahrens die öffentliche Klage erhoben wird. Die tatsächlichen Feststellungen des Urteils im strafgerichtlichen Verfahren sind für das Ehrenverfahren bindend.</w:t>
      </w:r>
    </w:p>
    <w:p>
      <w:r>
        <w:t xml:space="preserve">(4) Ist ein Mitglied in einem strafgerichtlichen Verfahren freigesprochen worden oder wurde das strafgerichtliche Verfahren eingestellt, kann wegen des Sachverhalts, der Gegenstand der gerichtlichen Entscheidung war, ein Ehrenverfahren nur eingeleitet oder fortgesetzt werden, wenn dieser Sachverhalt, ohne den Tatbestand eines Strafgesetzes zu erfüllen, eine Verletzung von Berufspflichten darstellt.</w:t>
      </w:r>
    </w:p>
    <w:p>
      <w:r>
        <w:t xml:space="preserve">(5) Die Absätze 3 und 4 gelten entsprechend, wenn gegen das Mitglied ein Disziplinarverfahren wegen desselben Sachverhaltes eingeleitet wurde.</w:t>
      </w:r>
    </w:p>
    <w:p>
      <w:r>
        <w:t xml:space="preserve">Einzelnorm</w:t>
      </w:r>
    </w:p>
    <w:p>
      <w:r>
        <w:rPr>
          <w:color w:val="555555"/>
          <w:sz w:val="17"/>
        </w:rPr>
        <w:t xml:space="preserve">Zitiervorschlag: § 28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