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BbgArchG (Brandenburg) — Führung der geschützten Berufsbezeichnungen durch auswärtige Dienstleister</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in einem anderen Staat niedergelassen sind oder ihren Beruf dort überwiegend ausüben und sich zu einer vorübergehenden und gelegentlichen Erbringung von Dienstleistungen im Sinne des § 3 in das Land Brandenburg begeben (auswärtige Dienstleister), dürfen die Berufsbezeichnung nach § 1 Absatz 1 oder eine Wortverbindung nach § 1 Absatz 6 ohne Eintragung in die Liste ihrer Fachrichtung führen, wenn sie die Eintragungsvoraussetzungen gemäß § 4 Absatz 1 bis 3 erfüllen; § 4 Absatz 4 und 5 findet keine Anwendung. Sie dürfen den Zusatz „frei“ oder „freischaffend“ führen, wenn sie die Voraussetzungen nach § 1 Absatz 5 erfüllen.</w:t>
      </w:r>
    </w:p>
    <w:p>
      <w:r>
        <w:t xml:space="preserve">(2) Auswärtige Dienstleister müssen das erstmalige Tätigwerden nach Absatz 1 Satz 1 bei der Architektenkammer vorher anzeigen. Sie haben die Anzeige einmal jährlich zu erneuern, wenn sie beabsichtigen, während des betreffenden Jahres im Land Brandenburg Dienstleistungen nach Absatz 1 Satz 1 zu erbringen. Auswärtige Dienstleister, die nicht die Voraussetzungen des § 4 Absatz 2 erfüllen, dürfen die Berufsbezeichnung nach § 1 Absatz 1 oder eine Wortverbindung nach § 1 Absatz 6 erst führen, wenn ihnen die Architektenkammer bestätigt hat, dass sie die Eintragungsvoraussetzungen nach § 4 Absatz 1 oder Absatz 3 erfüllen. Für das Verfahren gilt § 4 Absatz 7 und 8 entsprechend.</w:t>
      </w:r>
    </w:p>
    <w:p>
      <w:r>
        <w:t xml:space="preserve">(3) Auswärtige Dienstleister haben die Berufspflichten zu beachten. Sie sind hierfür wie Mitglieder der Architektenkammer zu behandeln und in ein entsprechendes Verzeichnis einzutragen. Die Architektenkammer stellt über die Eintragung in das Verzeichnis nach Satz 2 eine auf höchstens fünf Jahre befristete Bescheinigung aus, die auf Antrag verlängert werden kann. Anzeigen nach Absatz 2 Satz 2 und Bescheinigungen nach Satz 3 sind nicht erforderlich, wenn bereits in einem anderen Land eine Anzeige erfolgt ist oder eine Bescheinigung erteilt wurde; eine Eintragung in das Verzeichnis nach Satz 2 erfolgt in diesem Fall nicht.</w:t>
      </w:r>
    </w:p>
    <w:p>
      <w:r>
        <w:t xml:space="preserve">(4) Das Recht zur Führung der Berufsbezeichnung des Niederlassungsstaates nach Artikel 7 Absatz 3 der Richtlinie 2005/36/ EG des Europäischen Parlaments und des Rates vom 7. September 2005 über die Anerkennung von Berufsqualifikationen ( ABl. L 255 vom 30.9.2005, S. 22, L 271 vom 16.10.2007, S. 18, L 093 vom 4.4.2008, S. 28, L 033 vom 3.2.2009, S. 49, L 305 vom 24.10.2014, S. 115, L 177 vom 8.7.2015, S. 60, L 268 vom 15.10.2015, S. 35, L 095 vom 9.4.2016, S. 20), die zuletzt durch die Richtlinie ( EU ) 2024/505 (ABl. L 505 vom 12.2.2024, S. 1) geändert worden ist, in der jeweils geltenden Fassung bleibt unberührt. Die Berufsbezeichnung ist so zu führen, dass keine Verwechslung mit der Berufsbezeichnung nach § 1 Absatz 1 möglich ist.</w:t>
      </w:r>
    </w:p>
    <w:p>
      <w:r>
        <w:t xml:space="preserve">Einzelnorm</w:t>
      </w:r>
    </w:p>
    <w:p>
      <w:r>
        <w:rPr>
          <w:color w:val="555555"/>
          <w:sz w:val="17"/>
        </w:rPr>
        <w:t xml:space="preserve">Zitiervorschlag: § 2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