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BbgArchG (Brandenburg) — Hauptsatzung</w:t>
      </w:r>
    </w:p>
    <w:p>
      <w:r>
        <w:rPr>
          <w:color w:val="555555"/>
          <w:sz w:val="18"/>
        </w:rPr>
        <w:t xml:space="preserve">Brandenburgisches Architektengesetz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Hauptsatzung muss Bestimmungen enthalten über</w:t>
      </w:r>
    </w:p>
    <w:p>
      <w:r>
        <w:t xml:space="preserve">die Rechte der Kammermitglieder und die Pflichten, die sich aus der Mitgliedschaft in der Architektenkammer ergeben,</w:t>
      </w:r>
    </w:p>
    <w:p>
      <w:r>
        <w:t xml:space="preserve">die Einberufung und die Geschäftsordnung der Vertreterversammlung der Architektenkammer,</w:t>
      </w:r>
    </w:p>
    <w:p>
      <w:r>
        <w:t xml:space="preserve">die Zusammensetzung des Vorstandes der Architektenkammer sowie die Wahl und die Abwahl von dessen Mitgliedern,</w:t>
      </w:r>
    </w:p>
    <w:p>
      <w:r>
        <w:t xml:space="preserve">die Geschäftsführung und die Verwaltungseinrichtungen der Architektenkammer,</w:t>
      </w:r>
    </w:p>
    <w:p>
      <w:r>
        <w:t xml:space="preserve">die Zusammensetzung der Ausschüsse der Architektenkammer, falls solche gebildet werden, sowie die Wahl und die Abwahl von deren Mitgliedern,</w:t>
      </w:r>
    </w:p>
    <w:p>
      <w:r>
        <w:t xml:space="preserve">die Bildung örtlicher und fachlicher Untergliederungen,</w:t>
      </w:r>
    </w:p>
    <w:p>
      <w:r>
        <w:t xml:space="preserve">die Führung der Listen der Fachrichtungen und der Verzeichnisse und</w:t>
      </w:r>
    </w:p>
    <w:p>
      <w:r>
        <w:t xml:space="preserve">die Form und die Art der Bekanntmachungen.</w:t>
      </w:r>
    </w:p>
    <w:p>
      <w:r>
        <w:t xml:space="preserve">(2) Die Hauptsatzung ist so auszugestalten, dass die Wahrung der Belange aller Fachrichtungen und Tätigkeitsarten gesichert ist.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19 BbgArchG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https://recht.nulegal.eu/gesetze/BbgArchG/19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