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BbgAltPflHG (Brandenburg) — Voraussetzungen für den Zugang zur Ausbildung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Voraussetzungen für den Zugang zur Ausbildung nach § 3 Absatz 1 sind grundsätzlich</w:t>
      </w:r>
    </w:p>
    <w:p>
      <w:r>
        <w:t xml:space="preserve">die gesundheitliche und persönliche Eignung der Bewerberin oder des Bewerbers zur Ausübung des Berufs sowie hierfür ausreichende Kenntnisse der deutschen Sprache und</w:t>
      </w:r>
    </w:p>
    <w:p>
      <w:r>
        <w:t xml:space="preserve">die Berufsbildungsreife oder ein der Berufsbildungsreife gleichgestellter Abschluss.</w:t>
      </w:r>
    </w:p>
    <w:p>
      <w:r>
        <w:rPr>
          <w:color w:val="555555"/>
          <w:sz w:val="17"/>
        </w:rPr>
        <w:t xml:space="preserve">Zitiervorschlag: § 4 BbgAltPflHG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