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BbgAltPflHG (Brandenburg) — Einschränkung von Grundrechten</w:t>
      </w:r>
    </w:p>
    <w:p>
      <w:r>
        <w:rPr>
          <w:color w:val="555555"/>
          <w:sz w:val="18"/>
        </w:rPr>
        <w:t xml:space="preserve">Brandenburgisches Altenpflegehilfegesetz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werden das Grundrecht auf informationelle Selbstbestimmung (Artikel 2 Absatz 1 in Verbindung mit Artikel 1 Absatz 1 des Grundgesetzes), das Grundrecht auf Datenschutz (Artikel 11 Absatz 1 der Verfassung des Landes Brandenburg) und das Grundrecht der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11a BbgAltPflHG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https://recht.nulegal.eu/gesetze/BbgAltPflHG/11a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