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BbgAltPflHG (Brandenburg) — Ordnungswidrigkeiten</w:t>
      </w:r>
    </w:p>
    <w:p>
      <w:r>
        <w:rPr>
          <w:color w:val="555555"/>
          <w:sz w:val="18"/>
        </w:rPr>
        <w:t xml:space="preserve">Brandenburgisches Altenpflegehilfegesetz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ohne Erlaubnis nach § 1 Absatz 1 die Berufsbezeichnung „Altenpflegehelferin“ oder „Altenpflegehelfer“ führt.</w:t>
      </w:r>
    </w:p>
    <w:p>
      <w:r>
        <w:t xml:space="preserve">(2) Die Ordnungswidrigkeit kann mit einer Geldbuße bis zu zweitausend Euro geahndet werden.</w:t>
      </w:r>
    </w:p>
    <w:p>
      <w:r>
        <w:rPr>
          <w:color w:val="555555"/>
          <w:sz w:val="17"/>
        </w:rPr>
        <w:t xml:space="preserve">Zitiervorschlag: § 10 BbgAltPflHG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https://recht.nulegal.eu/gesetze/BbgAltPflHG/10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