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BbgAbwAG (Brandenburg) — Härtefallregelung</w:t>
      </w:r>
    </w:p>
    <w:p>
      <w:r>
        <w:rPr>
          <w:color w:val="555555"/>
          <w:sz w:val="18"/>
        </w:rPr>
        <w:t xml:space="preserve">Brandenburgisches Abwasserabgabengesetz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Die Festsetzungsbehörde kann nach Maßgabe der Landeshaushaltsordnung die Abgabe ganz oder teilweise stunden, erlassen oder niederschlagen.</w:t>
      </w:r>
    </w:p>
    <w:p>
      <w:r>
        <w:rPr>
          <w:color w:val="555555"/>
          <w:sz w:val="17"/>
        </w:rPr>
        <w:t xml:space="preserve">Zitiervorschlag: § 13 BbgAbwAG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https://recht.nulegal.eu/gesetze/BbgAbwAG/13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