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BbgAbfBodG (Brandenburg) — Inkrafttreten, Außerkrafttreten</w:t>
      </w:r>
    </w:p>
    <w:p>
      <w:r>
        <w:rPr>
          <w:color w:val="555555"/>
          <w:sz w:val="18"/>
        </w:rPr>
        <w:t xml:space="preserve">Brandenburgisches Abfall- und Bodenschutzgesetz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 Gleichzeitig tritt das Landesabfallvorschaltgesetz vom 20. Januar 1992 (GVBl. I S. 16), zuletzt geändert durch Gesetz vom 11. Mai 1995 (GVBl. I S. 87), außer Kraft.</w:t>
      </w:r>
    </w:p>
    <w:p>
      <w:r>
        <w:rPr>
          <w:color w:val="555555"/>
          <w:sz w:val="17"/>
        </w:rPr>
        <w:t xml:space="preserve">Zitiervorschlag: § 55 BbgAbfBodG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https://recht.nulegal.eu/gesetze/BbgAbfBodG/55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