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BbgAbfBodG (Brandenburg) — Folgeänderung</w:t>
      </w:r>
    </w:p>
    <w:p>
      <w:r>
        <w:rPr>
          <w:color w:val="555555"/>
          <w:sz w:val="18"/>
        </w:rPr>
        <w:t xml:space="preserve">Brandenburgisches Abfall- und Bodenschutzgesetz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§ 4 Abs. 2 Satz 2 Nr. 1 des Vorschaltgesetzes zum Immissionsschutz vom 3. März 1992 (GVBl. I S. 78) wird wie folgt gefaßt:</w:t>
      </w:r>
    </w:p>
    <w:p>
      <w:r>
        <w:t xml:space="preserve">"1. Abfälle vermieden werden, es sei denn, sie werden ordnungsgemäß und schadlos verwertet oder, soweit Vermeidung und Verwertung technisch nicht möglich oder unzumutbar sind, ohne Beeinträchtigungen des Wohls der Allgemeinheit beseitigt,"</w:t>
      </w:r>
    </w:p>
    <w:p>
      <w:r>
        <w:rPr>
          <w:color w:val="555555"/>
          <w:sz w:val="17"/>
        </w:rPr>
        <w:t xml:space="preserve">Zitiervorschlag: § 54 BbgAbfBodG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https://recht.nulegal.eu/gesetze/BbgAbfBodG/54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