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50 BbgAbfBodG (Brandenburg) — Zuständigkeit für die Verfolgung und Ahndung von Ordnungswidrigkeiten</w:t>
      </w:r>
    </w:p>
    <w:p>
      <w:r>
        <w:rPr>
          <w:color w:val="555555"/>
          <w:sz w:val="18"/>
        </w:rPr>
        <w:t xml:space="preserve">Brandenburgisches Abfall- und Bodenschutzgesetz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Zuständige Behörde für die Verfolgung und Ahndung von Ordnungswidrigkeiten nach dem Kreislaufwirtschaftsgesetz, dem Abfallverbringungsgesetz, diesem Gesetz und der aufgrund dieser Gesetze erlassenen Rechtsverordnungen sind die jeweils zur Überwachung zuständigen Behörden.</w:t>
      </w:r>
    </w:p>
    <w:p>
      <w:r>
        <w:t xml:space="preserve">(2) Zuständige Behörde für die Verfolgung und Ahndung von Ordnungswidrigkeiten aufgrund einer Satzung nach § 8 Abs. 3 sind die öffentlich-rechtlichen Entsorgungsträger.</w:t>
      </w:r>
    </w:p>
    <w:p>
      <w:r>
        <w:t xml:space="preserve">(3) Die untere Abfallwirtschaftsbehörde kann die Zuständigkeit nach Absatz 1 hinsichtlich einzelner Ordnungswidrigkeitstatbestände durch öffentlich-rechtliche Vereinbarung nach dem Gesetz über kommunale Gemeinschaftsarbeit im Land Brandenburg auf den öffentlich-rechtlichen Entsorgungsträger oder eine örtliche Ordnungsbehörde übertragen. Die Zuständigkeit nach Absatz 2 kann durch öffentlich-rechtliche Vereinbarung nach dem Gesetz über kommunale Gemeinschaftsarbeit im Land Brandenburg auf die untere Abfallwirtschaftsbehörde oder eine örtliche Ordnungsbehörde übertragen werden.</w:t>
      </w:r>
    </w:p>
    <w:p>
      <w:r>
        <w:rPr>
          <w:color w:val="555555"/>
          <w:sz w:val="17"/>
        </w:rPr>
        <w:t xml:space="preserve">Zitiervorschlag: § 50 BbgAbfBodG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https://recht.nulegal.eu/gesetze/BbgAbfBodG/50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50 BbgAbfBodG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