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BbgAbfBodG (Brandenburg) — Bußgeldvorschrift</w:t>
      </w:r>
    </w:p>
    <w:p>
      <w:r>
        <w:rPr>
          <w:color w:val="555555"/>
          <w:sz w:val="18"/>
        </w:rPr>
        <w:t xml:space="preserve">Brandenburgisches Abfall- und Bodenschutzgesetz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einer Rechtsverordnung nach § 15 Absatz 1 zuwiderhandelt, soweit sie für einen bestimmten Tatbestand auf diese Bußgeldvorschrift verweist,</w:t>
      </w:r>
    </w:p>
    <w:p>
      <w:r>
        <w:t xml:space="preserve">Auskünfte, zu deren Erteilung die Person nach § 16 verpflichtet ist, der zuständigen Behörde nicht, nicht vollständig oder nicht richtig erteilt,</w:t>
      </w:r>
    </w:p>
    <w:p>
      <w:r>
        <w:t xml:space="preserve">entgegen § 18 Abs. 1 Abfälle, die außerhalb des Geltungsbereiches eines verbindlichen Abfallentsorgungsplanes entstanden sind, ohne die erforderliche Genehmigung in das Plangebiet verbringt oder einer mit einer solchen Genehmigung verbundenen Nebenbestimmung zuwiderhandelt,</w:t>
      </w:r>
    </w:p>
    <w:p>
      <w:r>
        <w:t xml:space="preserve">als Betreiber einer Abfallentsorgungsanlage entgegen § 21 Absatz 2 Abfälle annimmt, die von außerhalb des festgelegten Einzugsbereichs der Anlage stammen,</w:t>
      </w:r>
    </w:p>
    <w:p>
      <w:r>
        <w:t xml:space="preserve">als Betreiber einer Abfallentsorgungsanlage entgegen § 21 Absatz 3 Satz 4 Störungen des Anlagenbetriebs oder einen ordnungswidrigen Zustand der Anlage nicht unverzüglich anzeigt oder</w:t>
      </w:r>
    </w:p>
    <w:p>
      <w:r>
        <w:t xml:space="preserve">als Betreiber einer Abfallentsorgungsanlage entgegen § 21 Absatz 4 nicht sicherstellt, dass verwertbare Abfälle nicht angenommen werden,</w:t>
      </w:r>
    </w:p>
    <w:p>
      <w:r>
        <w:t xml:space="preserve">entgegen § 22 kein Rückbau- und Entsorgungskonzept vorlegt,</w:t>
      </w:r>
    </w:p>
    <w:p>
      <w:r>
        <w:t xml:space="preserve">einer vollziehbaren Anordnung nach § 24 zuwiderhandelt,</w:t>
      </w:r>
    </w:p>
    <w:p>
      <w:r>
        <w:t xml:space="preserve">entgegen § 30 in Verbindung mit § 13 Absatz 1 oder § 15 Absatz 2 Satz 1, 3 oder Satz 4 des Bundes-Bodenschutzgesetzes einer vollziehbaren Anordnung zuwiderhandelt oder entgegen § 30 in Verbindung mit § 15 Absatz 3 Satz 1 des Bundes-Bodenschutzgesetzes eine Mitteilung nicht, nicht richtig, nicht vollständig oder nicht rechtzeitig macht,</w:t>
      </w:r>
    </w:p>
    <w:p>
      <w:r>
        <w:t xml:space="preserve">entgegen § 31 Absatz 1 Mitteilungen nicht oder nicht unverzüglich macht,</w:t>
      </w:r>
    </w:p>
    <w:p>
      <w:r>
        <w:t xml:space="preserve">entgegen § 31 Absatz 2 Auskünfte nicht, nicht richtig, nicht vollständig oder nicht rechtzeitig erteilt oder Unterlagen nicht vorlegt,</w:t>
      </w:r>
    </w:p>
    <w:p>
      <w:r>
        <w:t xml:space="preserve">entgegen § 31 Absatz 3 oder Absatz 4 den Zutritt zu Grundstücken und Wohnräumen und die Vornahme von Ermittlungen sowie die Entnahme von Proben nicht gestattet,</w:t>
      </w:r>
    </w:p>
    <w:p>
      <w:r>
        <w:t xml:space="preserve">einer Rechtsverordnung nach § 34 oder einer vollziehbaren Anordnung aufgrund einer solchen Rechtsverordnung zuwiderhandelt, soweit die Rechtsverordnung für einen bestimmten Tatbestand auf diese Bußgeldvorschrift verweist.</w:t>
      </w:r>
    </w:p>
    <w:p>
      <w:r>
        <w:t xml:space="preserve">(2) Die Ordnungswidrigkeiten nach Absatz 1 Nummer 1 bis 8 und 13 können mit einer Geldbuße bis zu fünfzigtausend Euro, die Ordnungswidrigkeiten nach Absatz 1 Nummer 9 bis 12 mit einer Geldbuße bis zu zehntausend Euro geahndet werden.</w:t>
      </w:r>
    </w:p>
    <w:p>
      <w:r>
        <w:rPr>
          <w:color w:val="555555"/>
          <w:sz w:val="17"/>
        </w:rPr>
        <w:t xml:space="preserve">Zitiervorschlag: § 48 BbgAbfBodG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https://recht.nulegal.eu/gesetze/BbgAbfBodG/48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