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BbgAbfBodG (Brandenburg) — Kosten der Überwachung, Verordnungsermächtigung</w:t>
      </w:r>
    </w:p>
    <w:p>
      <w:r>
        <w:rPr>
          <w:color w:val="555555"/>
          <w:sz w:val="18"/>
        </w:rPr>
        <w:t xml:space="preserve">Brandenburgisches Abfall- und Bodenschutzgesetz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Kosten der Überwachung zur Einhaltung ihrer Pflichten sind den Betreibern von Anlagen, in denen Abfälle erzeugt, behandelt oder entsorgt werden, aufzuerlegen. Dies gilt ebenfalls, wenn diese Anlagen stillgelegt sind und für die Kosten von notwendigen Sachverständigen oder sachverständigen Stellen. Die überwachte Person trägt auch die Kosten für die Ermittlungen, wenn unbefugt gehandelt wurde, insbesondere Auflagen oder Anordnungen nicht erfüllt wurden, oder sich dies als Ergebnis von Maßnahmen der Überwachung herausstellt. Zu den Kosten gehören auch diejenigen für die Gefahren- und Schadensermittlung, Sicherstellung von Abfällen oder Fahrzeugen und die Ermittlung von Verantwortlichen.</w:t>
      </w:r>
    </w:p>
    <w:p>
      <w:r>
        <w:t xml:space="preserve">(2) Auf die Ausgleichspflicht mehrerer Verantwortlicher untereinander findet § 24 Absatz 3 Anwendung.</w:t>
      </w:r>
    </w:p>
    <w:p>
      <w:r>
        <w:t xml:space="preserve">(3) Das für Abfallwirtschaft zuständige Mitglied der Landesregierung kann durch Rechtsverordnung Mindestvergütungen für Fremdprüfungen zur Überwachung von Abfallbeseitigungsanlagen regeln.</w:t>
      </w:r>
    </w:p>
    <w:p>
      <w:r>
        <w:t xml:space="preserve">(4) Durch die Absätze 1 und 3 wird das Grundrecht auf Berufsfreiheit (Artikel 49 Absatz 1 der Verfassung des Landes Brandenburg) eingeschränkt.</w:t>
      </w:r>
    </w:p>
    <w:p>
      <w:r>
        <w:rPr>
          <w:color w:val="555555"/>
          <w:sz w:val="17"/>
        </w:rPr>
        <w:t xml:space="preserve">Zitiervorschlag: § 25 BbgAbfBodG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https://recht.nulegal.eu/gesetze/BbgAbfBodG/25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