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BbgAbfBodG (Brandenburg) — Unzulässige Verwertung oder Beseitigung von Abfällen</w:t>
      </w:r>
    </w:p>
    <w:p>
      <w:r>
        <w:rPr>
          <w:color w:val="555555"/>
          <w:sz w:val="18"/>
        </w:rPr>
        <w:t xml:space="preserve">Brandenburgisches Abfall- und Bodenschutzgesetz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Wer in unzulässiger Weise Abfälle verwertet oder beseitigt, insbesondere behandelt, lagert oder ablagert, ist zur Beseitigung des rechtswidrigen Zustandes verpflichtet. § 24 Absatz 4 findet entsprechende Anwendung.</w:t>
      </w:r>
    </w:p>
    <w:p>
      <w:r>
        <w:rPr>
          <w:color w:val="555555"/>
          <w:sz w:val="17"/>
        </w:rPr>
        <w:t xml:space="preserve">Zitiervorschlag: § 23 BbgAbfBodG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https://recht.nulegal.eu/gesetze/BbgAbfBodG/23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