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BbgAbfBodG (Brandenburg) — Öffentlich-rechtliche Entsorgungsträger</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und kreisfreien Städte sind öffentlich-rechtliche Entsorgungsträger im Sinne des § 17 Absatz 1 des Kreislaufwirtschaftsgesetzes, soweit nicht in den nachfolgenden Vorschriften etwas anderes bestimmt ist. Sie erfüllen diese Aufgabe als pflichtige Selbstverwaltungsaufgabe.</w:t>
      </w:r>
    </w:p>
    <w:p>
      <w:r>
        <w:t xml:space="preserve">(2) Die Gemeinden unterstützen die öffentlich-rechtlichen Entsorgungsträger bei dieser Aufgabe. Sie stellen den öffentlich-rechtlichen Entsorgungsträgern Flächen für Sammelbehälter oder Sammelstellen zur Verfügung, wenn dies für eine Getrenntsammlung von Abfällen erforderlich ist. Ebenso sollen Vertreiber ab einer Verkaufsfläche von achthundert Quadratmetern die getrennte Erfassung von restentleerten Verpackungen, insbesondere Glas, durch vertriebsortnahe Stellflächen für Sammelbehälter unterstützen. Für die ordnungsgemäße Unterhaltung der zur Verfügung gestellten Flächen sind die öffentlich-rechtlichen Entsorgungsträger verantwortlich. Die Meldebehörden übermitteln den öffentlich-rechtlichen Entsorgungsträgern die für die Erhebung von Gebühren erforderlichen Daten. Ebenso sind die Gewerbeämter verpflichtet, den öffentlich-rechtlichen Entsorgungsträgern für deren Aufgabenwahrnehmung unentgeltlich die Grunddaten über Gewerbebetriebe zur Verfügung zu stellen.</w:t>
      </w:r>
    </w:p>
    <w:p>
      <w:r>
        <w:t xml:space="preserve">(3) Bei der Wahrnehmung von Planungs-, Verkehrs- und Ansiedlungsangelegenheiten ist auf notwendige Flächen für Abfallsammelbehälter sowie auf eine sichere Zuwegung zum Abtransport der Siedlungsabfälle durch Abfallsammelfahrzeuge, insbesondere durch ausreichend breite Straßen und Wendemöglichkeiten, zu achten.</w:t>
      </w:r>
    </w:p>
    <w:p>
      <w:r>
        <w:rPr>
          <w:color w:val="555555"/>
          <w:sz w:val="17"/>
        </w:rPr>
        <w:t xml:space="preserve">Zitiervorschlag: § 2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