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BbgAbfBodG (Brandenburg) — Abfallvermeidungsprogramm</w:t>
      </w:r>
    </w:p>
    <w:p>
      <w:r>
        <w:rPr>
          <w:color w:val="555555"/>
          <w:sz w:val="18"/>
        </w:rPr>
        <w:t xml:space="preserve">Brandenburgisches Abfall- und Bodenschutzgesetz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oberste Abfallwirtschaftsbehörde beteiligt sich am Abfallvermeidungsprogramm des Bundes nach § 33 Absatz 1 Satz 2 des Kreislaufwirtschaftsgesetzes. Sie kann an dessen Stelle ein eigenes Abfallvermeidungsprogramm für das Land aufstellen.</w:t>
      </w:r>
    </w:p>
    <w:p>
      <w:r>
        <w:rPr>
          <w:color w:val="555555"/>
          <w:sz w:val="17"/>
        </w:rPr>
        <w:t xml:space="preserve">Zitiervorschlag: § 17a BbgAbfBodG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https://recht.nulegal.eu/gesetze/BbgAbfBodG/17a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