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BbgAbfBodG (Brandenburg) — Verordnungsermächtigung, Kosten</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Abfallwirtschaft zuständige Mitglied der Landesregierung wird ermächtigt, durch Rechtsverordnung im Einvernehmen mit dem für Finanzen zuständigen Mitglied der Landesregierung das Verfahren bei der zentralen Einrichtung zu regeln. Durch diese Verordnung können insbesondere</w:t>
      </w:r>
    </w:p>
    <w:p>
      <w:r>
        <w:t xml:space="preserve">die entsorgungspflichtigen Erzeuger und Besitzer gefährlicher Abfälle, Dritte oder Entsorgungsträger verpflichtet werden, diese Abfälle der zentralen Einrichtung anzudienen,</w:t>
      </w:r>
    </w:p>
    <w:p>
      <w:r>
        <w:t xml:space="preserve">die in Nummer 1 genannten Personen verpflichtet werden, die angedienten Abfälle nur einer von der zentralen Einrichtung zugewiesenen Abfallentsorgungsanlage zuzuführen,</w:t>
      </w:r>
    </w:p>
    <w:p>
      <w:r>
        <w:t xml:space="preserve">für andienungspflichtige Abfälle, soweit die Nachweise durch die Einsammler und Beförderer geführt werden, die Andienungspflichten der in Nummer 1 genannten Personen auf die Einsammler und Beförderer übertragen werden,</w:t>
      </w:r>
    </w:p>
    <w:p>
      <w:r>
        <w:t xml:space="preserve">Zuweisungen nach Nummer 2 davon abhängig gemacht werden, dass die Abfallentsorgung ordnungsgemäß durchgeführt wird und den gesetzlichen Zielen der Kreislauf- und Abfallwirtschaft sowie der Abfallwirtschaftsplanung entspricht,</w:t>
      </w:r>
    </w:p>
    <w:p>
      <w:r>
        <w:t xml:space="preserve">die in Nummer 1 genannten Personen verpflichtet werden, der zentralen Einrichtung Auskünfte im Sinne des § 47 Absatz 3 des Kreislaufwirtschaftsgesetzes zu erteilen und Analysen zur Beurteilung der angedienten Abfälle zu erstellen oder auf eigene Kosten durch Dritte erstellen zu lassen,</w:t>
      </w:r>
    </w:p>
    <w:p>
      <w:r>
        <w:t xml:space="preserve">Betreiber von Abfallentsorgungsanlagen verpflichtet werden, keine andienungspflichtigen Abfälle ohne Zuweisung anzunehmen,</w:t>
      </w:r>
    </w:p>
    <w:p>
      <w:r>
        <w:t xml:space="preserve">die zentrale Einrichtung ermächtigt werden, unter entsprechender Anwendung von § 25 auf Kosten der in Nummer 1 genannten Personen den angedienten Abfällen Proben zu entnehmen oder entnehmen zu lassen,</w:t>
      </w:r>
    </w:p>
    <w:p>
      <w:r>
        <w:t xml:space="preserve">die zentrale Einrichtung ermächtigt werden, den in Nummer 1 genannten Personen aufzugeben, wie Abfälle der zugewiesenen Abfallentsorgungsanlage zuzuführen sind, insbesondere eine Vorbehandlung der Abfälle zu verlangen,</w:t>
      </w:r>
    </w:p>
    <w:p>
      <w:r>
        <w:t xml:space="preserve">die Anforderungen an die nach § 14 Absatz 3 Satz 2 aufzustellenden Abfallwirtschaftskonzepte und -bilanzen bestimmt werden,</w:t>
      </w:r>
    </w:p>
    <w:p>
      <w:r>
        <w:t xml:space="preserve">besondere Bestimmungen zur Nachweisführung über die ordnungsgemäße Entsorgung von Abfällen festgelegt werden, soweit das Land hierzu befugt ist und es zur ordnungsgemäßen Erfüllung der der zentralen Einrichtung übertragenen Aufgaben erforderlich ist.</w:t>
      </w:r>
    </w:p>
    <w:p>
      <w:r>
        <w:t xml:space="preserve">Soweit Erzeuger oder Besitzer von Abfällen diese in eigenen, in einem engen räumlichen und betrieblichen Zusammenhang stehenden Anlagen entsorgen, bestehen keine Andienungspflichten.</w:t>
      </w:r>
    </w:p>
    <w:p>
      <w:r>
        <w:t xml:space="preserve">(2) Der zentralen Einrichtung können weitere abfallrechtliche Aufgaben zugewiesen werden, die im Zusammenhang mit folgenden Aufgaben stehen:</w:t>
      </w:r>
    </w:p>
    <w:p>
      <w:r>
        <w:t xml:space="preserve">der grenzüberschreitenden Verbringung von Abfällen,</w:t>
      </w:r>
    </w:p>
    <w:p>
      <w:r>
        <w:t xml:space="preserve">der abfallrechtlichen Nachweisführung,</w:t>
      </w:r>
    </w:p>
    <w:p>
      <w:r>
        <w:t xml:space="preserve">der Kontrollverfahren von Beförderung und Sammlung sowie des Handelns und Makelns von Abfällen,</w:t>
      </w:r>
    </w:p>
    <w:p>
      <w:r>
        <w:t xml:space="preserve">der Notifizierung von Sachverständigen oder</w:t>
      </w:r>
    </w:p>
    <w:p>
      <w:r>
        <w:t xml:space="preserve">mit sonstigen behördlichen Kontrollverfahren von Abfallerzeugung und -entsorgung.</w:t>
      </w:r>
    </w:p>
    <w:p>
      <w:r>
        <w:t xml:space="preserve">(3) Die zentrale Einrichtung erhebt für die ihr bei der Aufgabenerfüllung entstehenden Verwaltungsaufwendungen Gebühren und Auslagen nach dem Kostendeckungsgrundsatz. Das für Abfallwirtschaft zuständige Mitglied der Landesregierung wird ermächtigt, durch Rechtsverordnung im Einvernehmen mit dem für Finanzen zuständigen Mitglied der Landesregierung die gebührenpflichtigen Tatbestände nach Satz 1, die Gebührenhöhe, die Gebühren für den Erlass von Widerspruchsbescheiden, die Entstehung und Fälligkeit der Kostenschuld, die Zahlung von Vorschüssen und die Forderung von Sicherheitsleistungen sowie die Wahrnehmung vollstreckungsrechtlicher Aufgaben näher zu bestimmen. Soweit in der Rechtsverordnung nach Satz 2 nichts Abweichendes bestimmt ist, gilt das Gebührengesetz für das Land Brandenburg und die Gebührenordnung des für Abfallwirtschaft zuständigen Mitglieds der Landesregierung. Die Gebühr kann nach festen Sätzen, Rahmensätzen oder nach einem Prozentsatz der Entsorgungskosten bemessen werden. Soweit Abfälle an eine Entsorgungsanlage in einem anderen Land zugewiesen werden und dort ebenfalls Entgelte erhoben werden, ist eine Doppelbelastung des Andienungspflichtigen auszuschließen.</w:t>
      </w:r>
    </w:p>
    <w:p>
      <w:r>
        <w:rPr>
          <w:color w:val="555555"/>
          <w:sz w:val="17"/>
        </w:rPr>
        <w:t xml:space="preserve">Zitiervorschlag: § 15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BbgAbfBodG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