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BbgAbfBodG (Brandenburg) — Organisation der Entsorgung gefährlicher Abfälle, Verordnungsermächtigung</w:t>
      </w:r>
    </w:p>
    <w:p>
      <w:r>
        <w:rPr>
          <w:color w:val="555555"/>
          <w:sz w:val="18"/>
        </w:rPr>
        <w:t xml:space="preserve">Brandenburgisches Abfall- und Bodenschutzgesetz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Abfallwirtschaft zuständige Mitglied der Landesregierung wird ermächtigt, durch Rechtsverordnung im Einvernehmen mit den für Inneres und Finanzen zuständigen Mitgliedern der Landesregierung eine zentrale Einrichtung zu bestimmen, die insbesondere die Organisation der Entsorgung von gefährlichen Abfällen, die im Geltungsbereich dieses Gesetzes erzeugt oder entsorgt werden, durchführt. Die Organisationsform sowie die Zusammensetzung und Fach- und Sachkunde der Organe und Mitarbeiter dieser zentralen Einrichtung müssen Gewähr für eine ordnungsgemäße Aufgabenerfüllung bieten. Der zentralen Einrichtung können hoheitliche Aufgaben im Zusammenhang mit der Organisation der Entsorgung von gefährlichen Abfällen und nach § 15 Absatz 2 übertragen werden.</w:t>
      </w:r>
    </w:p>
    <w:p>
      <w:r>
        <w:t xml:space="preserve">(2) Die zentrale Einrichtung unterliegt bei der Wahrnehmung ihrer Aufgaben der Fachaufsicht der obersten Abfallwirtschaftsbehörde.</w:t>
      </w:r>
    </w:p>
    <w:p>
      <w:r>
        <w:t xml:space="preserve">(3) Im Zusammenhang mit der Wahrnehmung ihrer Aufgaben zur Organisation der Entsorgung von gefährlichen Abfällen erteilt die zentrale Einrichtung Auskünfte über vorhandene geeignete Abfallentsorgungsanlagen. Die zentrale Einrichtung stellt zu andienungspflichtigen Abfällen Abfallwirtschaftskonzepte und Abfallbilanzen auf.</w:t>
      </w:r>
    </w:p>
    <w:p>
      <w:r>
        <w:t xml:space="preserve">(4) Soweit dies aus abfallwirtschaftlichen Gründen zweckmäßig erscheint, kann als zentrale Einrichtung im Sinne des Absatzes 1 auch eine Einrichtung bestimmt werden, die zugleich für das Land Berlin tätig wird.</w:t>
      </w:r>
    </w:p>
    <w:p>
      <w:r>
        <w:rPr>
          <w:color w:val="555555"/>
          <w:sz w:val="17"/>
        </w:rPr>
        <w:t xml:space="preserve">Zitiervorschlag: § 14 BbgAbfBodG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https://recht.nulegal.eu/gesetze/BbgAbfBodG/14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