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BbgAbfBodG (Brandenburg) — Sonstige Befugnisse öffentlich-rechtlicher Entsorgungsträger</w:t>
      </w:r>
    </w:p>
    <w:p>
      <w:r>
        <w:rPr>
          <w:color w:val="555555"/>
          <w:sz w:val="18"/>
        </w:rPr>
        <w:t xml:space="preserve">Brandenburgisches Abfall- und Bodenschutzgesetz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Zum Vollzug ihrer Aufgaben haben die öffentlich-rechtlichen Entsorgungsträger die Befugnis, die Befolgung der nach den §§ 8 und 9 erlassenen Satzungen zu überwachen und durch erforderliche Anordnungen und Maßnahmen durchzusetzen. Im Rahmen ihrer Aufgaben haben sie die Befugnisse aus den §§ 19 und 47 des Kreislaufwirtschaftsgesetzes.</w:t>
      </w:r>
    </w:p>
    <w:p>
      <w:r>
        <w:rPr>
          <w:color w:val="555555"/>
          <w:sz w:val="17"/>
        </w:rPr>
        <w:t xml:space="preserve">Zitiervorschlag: § 10 BbgAbfBodG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https://recht.nulegal.eu/gesetze/BbgAbfBodG/10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