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BbgAZVPFJ (Brandenburg) — Anordnung von Mehrarbeit</w:t>
      </w:r>
    </w:p>
    <w:p>
      <w:r>
        <w:rPr>
          <w:color w:val="555555"/>
          <w:sz w:val="18"/>
        </w:rPr>
        <w:t xml:space="preserve">Brandenburgische Arbeitszeitverordnung Polizei, Feuerwehr, Justizvollzug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Unter den</w:t>
      </w:r>
    </w:p>
    <w:p>
      <w:r>
        <w:t xml:space="preserve">Voraussetzungen des § 76 Absatz 2 des Landesbeamtengesetzes kann der Leiter der</w:t>
      </w:r>
    </w:p>
    <w:p>
      <w:r>
        <w:t xml:space="preserve">Dienststelle oder der von ihm Beauftragte für einzelne Beamte Mehrarbeit</w:t>
      </w:r>
    </w:p>
    <w:p>
      <w:r>
        <w:t xml:space="preserve">anordnen.</w:t>
      </w:r>
    </w:p>
    <w:p>
      <w:r>
        <w:rPr>
          <w:color w:val="555555"/>
          <w:sz w:val="17"/>
        </w:rPr>
        <w:t xml:space="preserve">Zitiervorschlag: § 6 BbgAZVPFJ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https://recht.nulegal.eu/gesetze/BbgAZVPFJ/6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