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BbgAZVPFJ (Brandenburg) — Arbeitszeitregelungen bei Teilzeitbeschäftigung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Verteilung</w:t>
      </w:r>
    </w:p>
    <w:p>
      <w:r>
        <w:t xml:space="preserve">der bei Teilzeitbeschäftigung zu erbringenden regelmäßigen wöchentlichen</w:t>
      </w:r>
    </w:p>
    <w:p>
      <w:r>
        <w:t xml:space="preserve">Arbeitszeit ist unter Wahrung der Interessen der Beamten und unter</w:t>
      </w:r>
    </w:p>
    <w:p>
      <w:r>
        <w:t xml:space="preserve">Berücksichtigung dienstlicher Belange festzulegen.</w:t>
      </w:r>
    </w:p>
    <w:p>
      <w:r>
        <w:rPr>
          <w:color w:val="555555"/>
          <w:sz w:val="17"/>
        </w:rPr>
        <w:t xml:space="preserve">Zitiervorschlag: § 5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