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BbgAZVPFJ (Brandenburg) — Übergangsvorschriften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Dienststellen, in denen von dieser Verordnung abweichende Dienstvereinbarungen</w:t>
      </w:r>
    </w:p>
    <w:p>
      <w:r>
        <w:t xml:space="preserve">zur Arbeitszeit bestehen, haben diese Regelungen innerhalb eines Jahres nach</w:t>
      </w:r>
    </w:p>
    <w:p>
      <w:r>
        <w:t xml:space="preserve">Inkrafttreten dieser Verordnung anzupassen. Regelungen nach § 28 Absatz 1</w:t>
      </w:r>
    </w:p>
    <w:p>
      <w:r>
        <w:t xml:space="preserve">bleiben unberührt.</w:t>
      </w:r>
    </w:p>
    <w:p>
      <w:r>
        <w:t xml:space="preserve">(2) Der</w:t>
      </w:r>
    </w:p>
    <w:p>
      <w:r>
        <w:t xml:space="preserve">während der Gesamtdauer der Altersteilzeit nach § 133 des Landesbeamtengesetzes</w:t>
      </w:r>
    </w:p>
    <w:p>
      <w:r>
        <w:t xml:space="preserve">zu leistende Dienst kann so verteilt werden, dass er</w:t>
      </w:r>
    </w:p>
    <w:p>
      <w:r>
        <w:t xml:space="preserve">durchgehend</w:t>
      </w:r>
    </w:p>
    <w:p>
      <w:r>
        <w:t xml:space="preserve">geleistet wird (Teilzeitmodell) oder</w:t>
      </w:r>
    </w:p>
    <w:p>
      <w:r>
        <w:t xml:space="preserve">zunächst</w:t>
      </w:r>
    </w:p>
    <w:p>
      <w:r>
        <w:t xml:space="preserve">geleistet und der Beamte anschließend von der Dienstleistung freigestellt</w:t>
      </w:r>
    </w:p>
    <w:p>
      <w:r>
        <w:t xml:space="preserve">wird (Blockmodell).</w:t>
      </w:r>
    </w:p>
    <w:p>
      <w:r>
        <w:t xml:space="preserve">Im Fall der</w:t>
      </w:r>
    </w:p>
    <w:p>
      <w:r>
        <w:t xml:space="preserve">Nummer 2 dürfen dienstliche Belange nicht entgegenstehen. § 5 gilt entsprechend.</w:t>
      </w:r>
    </w:p>
    <w:p>
      <w:r>
        <w:rPr>
          <w:color w:val="555555"/>
          <w:sz w:val="17"/>
        </w:rPr>
        <w:t xml:space="preserve">Zitiervorschlag: § 29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