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BbgAZVPFJ (Brandenburg) — Pausen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Beamte im</w:t>
      </w:r>
    </w:p>
    <w:p>
      <w:r>
        <w:t xml:space="preserve">Justizvollzugsdienst können die Ruhepausen im Sinne von § 7 Absatz 2 in</w:t>
      </w:r>
    </w:p>
    <w:p>
      <w:r>
        <w:t xml:space="preserve">Zeitabschnitte von jeweils 15 Minuten aufteilen, soweit dienstliche Belange</w:t>
      </w:r>
    </w:p>
    <w:p>
      <w:r>
        <w:t xml:space="preserve">nicht entgegenstehen.</w:t>
      </w:r>
    </w:p>
    <w:p>
      <w:r>
        <w:rPr>
          <w:color w:val="555555"/>
          <w:sz w:val="17"/>
        </w:rPr>
        <w:t xml:space="preserve">Zitiervorschlag: § 26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