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BbgAZVPFJ (Brandenburg) — Beamte des kommunalen Bereichs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in den</w:t>
      </w:r>
    </w:p>
    <w:p>
      <w:r>
        <w:t xml:space="preserve">Abschnitten 1 bis 3 und im Unterabschnitt 2 des Abschnittes 4 dieser Verordnung</w:t>
      </w:r>
    </w:p>
    <w:p>
      <w:r>
        <w:t xml:space="preserve">Zuständigkeiten des Leiters der Dienststelle, der Behörde oder der Einrichtung</w:t>
      </w:r>
    </w:p>
    <w:p>
      <w:r>
        <w:t xml:space="preserve">beziehungsweise der Dienstvorgesetzte oder der Vorgesetzte bestimmt werden,</w:t>
      </w:r>
    </w:p>
    <w:p>
      <w:r>
        <w:t xml:space="preserve">tritt an deren Stelle im Bereich einer Kommunalverwaltung der</w:t>
      </w:r>
    </w:p>
    <w:p>
      <w:r>
        <w:t xml:space="preserve">Hauptverwaltungsbeamte.</w:t>
      </w:r>
    </w:p>
    <w:p>
      <w:r>
        <w:rPr>
          <w:color w:val="555555"/>
          <w:sz w:val="17"/>
        </w:rPr>
        <w:t xml:space="preserve">Zitiervorschlag: § 25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