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BbgAZVPFJ (Brandenburg) — Arbeitszeitgestaltung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Während</w:t>
      </w:r>
    </w:p>
    <w:p>
      <w:r>
        <w:t xml:space="preserve">der Arbeitszeit haben Beamte, solange kein Einsatz stattfindet, Ausbildungs-</w:t>
      </w:r>
    </w:p>
    <w:p>
      <w:r>
        <w:t xml:space="preserve">oder Bereitschaftsdienst zu leisten beziehungsweise wirtschaftliche Tätigkeiten</w:t>
      </w:r>
    </w:p>
    <w:p>
      <w:r>
        <w:t xml:space="preserve">zu verrichten. An Sonntagen kann nach Maßgabe örtlicher Regelungen</w:t>
      </w:r>
    </w:p>
    <w:p>
      <w:r>
        <w:t xml:space="preserve">Ausbildungsdienst geleistet beziehungsweise wirtschaftliche Tätigkeit</w:t>
      </w:r>
    </w:p>
    <w:p>
      <w:r>
        <w:t xml:space="preserve">durchgeführt werden. Im Übrigen ist Bereitschaftsdienst zu leisten.</w:t>
      </w:r>
    </w:p>
    <w:p>
      <w:r>
        <w:t xml:space="preserve">(2) Bei einer</w:t>
      </w:r>
    </w:p>
    <w:p>
      <w:r>
        <w:t xml:space="preserve">nach § 21 Absatz 2 genehmigten regelmäßigen wöchentlichen Arbeitszeit von 56</w:t>
      </w:r>
    </w:p>
    <w:p>
      <w:r>
        <w:t xml:space="preserve">Stunden sollen in der Regel der Anteil der Ausbildungszeit beziehungsweise</w:t>
      </w:r>
    </w:p>
    <w:p>
      <w:r>
        <w:t xml:space="preserve">wirtschaftlichen Tätigkeit 24 Stunden und der Anteil der Bereitschaftszeit</w:t>
      </w:r>
    </w:p>
    <w:p>
      <w:r>
        <w:t xml:space="preserve">mindestens 32 Stunden betragen. Dieses Verhältnis gilt für davon abweichend</w:t>
      </w:r>
    </w:p>
    <w:p>
      <w:r>
        <w:t xml:space="preserve">vereinbarte Wochenarbeitsstunden.</w:t>
      </w:r>
    </w:p>
    <w:p>
      <w:r>
        <w:t xml:space="preserve">(3) Nähere</w:t>
      </w:r>
    </w:p>
    <w:p>
      <w:r>
        <w:t xml:space="preserve">Einzelheiten der Arbeitszeitverteilung, der Dienstplangestaltung und der</w:t>
      </w:r>
    </w:p>
    <w:p>
      <w:r>
        <w:t xml:space="preserve">Gewährung des Feiertagsausgleiches regelt der Dienstvorgesetzte. Der Anspruch</w:t>
      </w:r>
    </w:p>
    <w:p>
      <w:r>
        <w:t xml:space="preserve">auf Wochenfeiertagsausgleich nach § 76 Absatz 2 Satz 2 des Landesbeamtengesetzes</w:t>
      </w:r>
    </w:p>
    <w:p>
      <w:r>
        <w:t xml:space="preserve">ist mit höchstens vier freien Dienstschichten abzugelten.</w:t>
      </w:r>
    </w:p>
    <w:p>
      <w:r>
        <w:t xml:space="preserve">(4) Abweichend</w:t>
      </w:r>
    </w:p>
    <w:p>
      <w:r>
        <w:t xml:space="preserve">von § 3 Absatz 6 Satz 1 gilt bei Krankheit, Urlaub oder ganztägiger Befreiung</w:t>
      </w:r>
    </w:p>
    <w:p>
      <w:r>
        <w:t xml:space="preserve">von der Pflicht zur Dienstleistung die für den jeweiligen Tag vorgeplante</w:t>
      </w:r>
    </w:p>
    <w:p>
      <w:r>
        <w:t xml:space="preserve">Dienstzeit als erbracht.</w:t>
      </w:r>
    </w:p>
    <w:p>
      <w:r>
        <w:rPr>
          <w:color w:val="555555"/>
          <w:sz w:val="17"/>
        </w:rPr>
        <w:t xml:space="preserve">Zitiervorschlag: § 24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