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BbgAZVPFJ (Brandenburg) — Form und Umfang des Dienstes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Form</w:t>
      </w:r>
    </w:p>
    <w:p>
      <w:r>
        <w:t xml:space="preserve">und den Umfang des Dienstes regelt der Dienstvorgesetzte im Sinne des § 2 des</w:t>
      </w:r>
    </w:p>
    <w:p>
      <w:r>
        <w:t xml:space="preserve">Landesbeamtengesetzes in eigener Zuständigkeit. § 4 Absatz 5 findet keine</w:t>
      </w:r>
    </w:p>
    <w:p>
      <w:r>
        <w:t xml:space="preserve">Anwendung.</w:t>
      </w:r>
    </w:p>
    <w:p>
      <w:r>
        <w:t xml:space="preserve">(2) § 7 Absatz 3 gilt entsprechend.</w:t>
      </w:r>
    </w:p>
    <w:p>
      <w:r>
        <w:rPr>
          <w:color w:val="555555"/>
          <w:sz w:val="17"/>
        </w:rPr>
        <w:t xml:space="preserve">Zitiervorschlag: § 23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