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BbgAZVPFJ (Brandenburg) — Regelmäßige Arbeitszeit mit Bereitschaftszeit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Abweichend</w:t>
      </w:r>
    </w:p>
    <w:p>
      <w:r>
        <w:t xml:space="preserve">von § 2 Nummer 2 und § 4 Absatz 1 sind alle Wochentage Arbeitstage.</w:t>
      </w:r>
    </w:p>
    <w:p>
      <w:r>
        <w:t xml:space="preserve">(2) Die</w:t>
      </w:r>
    </w:p>
    <w:p>
      <w:r>
        <w:t xml:space="preserve">regelmäßige Arbeitszeit der Beamten des feuerwehrtechnischen Dienstes, die in</w:t>
      </w:r>
    </w:p>
    <w:p>
      <w:r>
        <w:t xml:space="preserve">Schichten Dienst leisten, beträgt unter Berücksichtigung der Bereitschaftszeit</w:t>
      </w:r>
    </w:p>
    <w:p>
      <w:r>
        <w:t xml:space="preserve">wöchentlich einschließlich Mehrarbeitsstunden im Durchschnitt von sechs Monaten nicht mehr als 48 Stunden.</w:t>
      </w:r>
    </w:p>
    <w:p>
      <w:r>
        <w:t xml:space="preserve">Dabei beträgt der Anteil der Bereitschaftszeit 19 Stunden.</w:t>
      </w:r>
    </w:p>
    <w:p>
      <w:r>
        <w:t xml:space="preserve">(3) Bei</w:t>
      </w:r>
    </w:p>
    <w:p>
      <w:r>
        <w:t xml:space="preserve">Beamten, die nicht in Schichten Dienst leisten, kann die regelmäßige Arbeitszeit</w:t>
      </w:r>
    </w:p>
    <w:p>
      <w:r>
        <w:t xml:space="preserve">entsprechend den dienstlichen Bedürfnissen verlängert werden, soweit sie ganz</w:t>
      </w:r>
    </w:p>
    <w:p>
      <w:r>
        <w:t xml:space="preserve">oder teilweise in Bereitschaft besteht. Im Durchschnitt von sechs Monaten dürfen wöchentlich 48 Stunden nicht</w:t>
      </w:r>
    </w:p>
    <w:p>
      <w:r>
        <w:t xml:space="preserve">überschritten werden. Der Anteil der</w:t>
      </w:r>
    </w:p>
    <w:p>
      <w:r>
        <w:t xml:space="preserve">Bereitschaftszeit beträgt für diesen Fall mindestens 16 Stunden.</w:t>
      </w:r>
    </w:p>
    <w:p>
      <w:r>
        <w:t xml:space="preserve">(4) Unter Beachtung der allgemeinen Grundsätze der Sicherheit und des</w:t>
      </w:r>
    </w:p>
    <w:p>
      <w:r>
        <w:t xml:space="preserve">Gesundheitsschutzes kann auf Antrag der Beamten über den Rahmen der Absätze 2</w:t>
      </w:r>
    </w:p>
    <w:p>
      <w:r>
        <w:t xml:space="preserve">und 3 hinaus Dienst bis zu 56 Stunden als durchschnittliche regelmäßige</w:t>
      </w:r>
    </w:p>
    <w:p>
      <w:r>
        <w:t xml:space="preserve">wöchentliche Arbeitszeit bewilligt werden. Beamten, die von dieser Möglichkeit</w:t>
      </w:r>
    </w:p>
    <w:p>
      <w:r>
        <w:t xml:space="preserve">keinen Gebrauch machen, darf hieraus kein Nachteil entstehen. Die Bewilligung</w:t>
      </w:r>
    </w:p>
    <w:p>
      <w:r>
        <w:t xml:space="preserve">nach Satz 1 kann vom Dienstvorgesetzten aus dienstlichen Gründen und der Antrag</w:t>
      </w:r>
    </w:p>
    <w:p>
      <w:r>
        <w:t xml:space="preserve">des Beamten kann jeweils zum Ablauf eines Kalenderjahres mit einer Frist von</w:t>
      </w:r>
    </w:p>
    <w:p>
      <w:r>
        <w:t xml:space="preserve">drei Monaten widerrufen beziehungsweise zurückgezogen werden. Die Beamten sind</w:t>
      </w:r>
    </w:p>
    <w:p>
      <w:r>
        <w:t xml:space="preserve">auf diese Widerrufsmöglichkeiten schriftlich hinzuweisen.</w:t>
      </w:r>
    </w:p>
    <w:p>
      <w:r>
        <w:t xml:space="preserve">(5) Der</w:t>
      </w:r>
    </w:p>
    <w:p>
      <w:r>
        <w:t xml:space="preserve">Dienstvorgesetzte hat in den Fällen des Absatzes 4 aktuelle Listen über diese</w:t>
      </w:r>
    </w:p>
    <w:p>
      <w:r>
        <w:t xml:space="preserve">Beamten zu führen und die Listen den für den Arbeitsschutz zuständigen Behörden,</w:t>
      </w:r>
    </w:p>
    <w:p>
      <w:r>
        <w:t xml:space="preserve">die eine Überschreitung der wöchentlichen Höchstarbeitszeit anlassbezogen</w:t>
      </w:r>
    </w:p>
    <w:p>
      <w:r>
        <w:t xml:space="preserve">unterbinden oder einschränken können, zur Verfügung zu stellen sowie auf</w:t>
      </w:r>
    </w:p>
    <w:p>
      <w:r>
        <w:t xml:space="preserve">Ersuchen, die für den Arbeitsschutz zuständigen Behörden über diese Beamten zu</w:t>
      </w:r>
    </w:p>
    <w:p>
      <w:r>
        <w:t xml:space="preserve">unterrichten.</w:t>
      </w:r>
    </w:p>
    <w:p>
      <w:r>
        <w:rPr>
          <w:color w:val="555555"/>
          <w:sz w:val="17"/>
        </w:rPr>
        <w:t xml:space="preserve">Zitiervorschlag: § 21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