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BbgAZVPFJ (Brandenburg) — Zuständigkeiten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Polizeibehörde und die Polizeieinrichtungen bestimmen nach Maßgabe dieser Verordnung für ihren</w:t>
      </w:r>
    </w:p>
    <w:p>
      <w:r>
        <w:t xml:space="preserve">Zuständigkeitsbereich unter Beachtung der örtlichen Verhältnisse</w:t>
      </w:r>
    </w:p>
    <w:p>
      <w:r>
        <w:t xml:space="preserve">(Rahmenregelung), wann und in welcher Form die Arbeitszeit zu leisten ist.</w:t>
      </w:r>
    </w:p>
    <w:p>
      <w:r>
        <w:t xml:space="preserve">Das fachlich zuständige Mitglied der Landesregierung bestimmt nach Maßgabe</w:t>
      </w:r>
    </w:p>
    <w:p>
      <w:r>
        <w:t xml:space="preserve">dieser Verordnung für seinen Zuständigkeitsbereich, wann und in welcher Form die</w:t>
      </w:r>
    </w:p>
    <w:p>
      <w:r>
        <w:t xml:space="preserve">regelmäßige wöchentliche Arbeitszeit abzuleisten ist.</w:t>
      </w:r>
    </w:p>
    <w:p>
      <w:r>
        <w:t xml:space="preserve">(2) Für</w:t>
      </w:r>
    </w:p>
    <w:p>
      <w:r>
        <w:t xml:space="preserve">hauptamtlich lehrende Beamte des Polizeivollzugsdienstes werden von dieser</w:t>
      </w:r>
    </w:p>
    <w:p>
      <w:r>
        <w:t xml:space="preserve">Verordnung abweichende Regelungen durch die Fachhochschule der Polizei in einer</w:t>
      </w:r>
    </w:p>
    <w:p>
      <w:r>
        <w:t xml:space="preserve">Lehrverpflichtungsregelung getroffen.</w:t>
      </w:r>
    </w:p>
    <w:p>
      <w:r>
        <w:rPr>
          <w:color w:val="555555"/>
          <w:sz w:val="17"/>
        </w:rPr>
        <w:t xml:space="preserve">Zitiervorschlag: § 20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