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BbgAZVPFJ (Brandenburg) — Arbeitsortflexibilisierung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keine</w:t>
      </w:r>
    </w:p>
    <w:p>
      <w:r>
        <w:t xml:space="preserve">dienstlichen Belange entgegenstehen, kann durch den Leiter der Dienststelle oder</w:t>
      </w:r>
    </w:p>
    <w:p>
      <w:r>
        <w:t xml:space="preserve">den von ihm Beauftragten den Beamten gestattet werden, ihre Dienstleistung</w:t>
      </w:r>
    </w:p>
    <w:p>
      <w:r>
        <w:t xml:space="preserve">teilweise auch außerhalb ihrer Dienststelle zu erbringen.</w:t>
      </w:r>
    </w:p>
    <w:p>
      <w:r>
        <w:rPr>
          <w:color w:val="555555"/>
          <w:sz w:val="17"/>
        </w:rPr>
        <w:t xml:space="preserve">Zitiervorschlag: § 16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