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BbgAZVPFJ (Brandenburg) — Zeiterfassung und Datenschutz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tatsächlich von den Beamten geleistete tägliche Arbeitszeit ist in geeigneter</w:t>
      </w:r>
    </w:p>
    <w:p>
      <w:r>
        <w:t xml:space="preserve">Form zu erfassen.</w:t>
      </w:r>
    </w:p>
    <w:p>
      <w:r>
        <w:t xml:space="preserve">(2) Bei</w:t>
      </w:r>
    </w:p>
    <w:p>
      <w:r>
        <w:t xml:space="preserve">gleitender Arbeitszeit ist diese grundsätzlich</w:t>
      </w:r>
    </w:p>
    <w:p>
      <w:r>
        <w:t xml:space="preserve">durch Zeiterfassungsgeräte zu erfassen. Die oberste Dienstbehörde kann in</w:t>
      </w:r>
    </w:p>
    <w:p>
      <w:r>
        <w:t xml:space="preserve">begründeten Fällen Ausnahmen zulassen, insbesondere wenn die Eigenart des</w:t>
      </w:r>
    </w:p>
    <w:p>
      <w:r>
        <w:t xml:space="preserve">Dienstes der Verwendung von Zeiterfassungsgeräten entgegensteht oder die</w:t>
      </w:r>
    </w:p>
    <w:p>
      <w:r>
        <w:t xml:space="preserve">Anschaffung der Zeiterfassungsgeräte unwirtschaftlich erscheint.</w:t>
      </w:r>
    </w:p>
    <w:p>
      <w:r>
        <w:t xml:space="preserve">(3) Die für</w:t>
      </w:r>
    </w:p>
    <w:p>
      <w:r>
        <w:t xml:space="preserve">die Zeiterfassung erhobenen personenbezogenen Daten dürfen nur ausgewertet</w:t>
      </w:r>
    </w:p>
    <w:p>
      <w:r>
        <w:t xml:space="preserve">werden, um Ansprüche der Beamten und des Dienstherrn zu überprüfen. Diese</w:t>
      </w:r>
    </w:p>
    <w:p>
      <w:r>
        <w:t xml:space="preserve">personenbezogenen Daten sind durch organisatorische und technische Maßnahmen</w:t>
      </w:r>
    </w:p>
    <w:p>
      <w:r>
        <w:t xml:space="preserve">gegen unzulässige Verarbeitung und Nutzung sowie gegen Kenntnisnahme durch</w:t>
      </w:r>
    </w:p>
    <w:p>
      <w:r>
        <w:t xml:space="preserve">Unbefugte zu sichern. Sie sind nach drei Jahren gemäß § 195 in Verbindung mit §</w:t>
      </w:r>
    </w:p>
    <w:p>
      <w:r>
        <w:t xml:space="preserve">199 des Bürgerlichen Gesetzbuches zu löschen oder zu vernichten.</w:t>
      </w:r>
    </w:p>
    <w:p>
      <w:r>
        <w:rPr>
          <w:color w:val="555555"/>
          <w:sz w:val="17"/>
        </w:rPr>
        <w:t xml:space="preserve">Zitiervorschlag: § 15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