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BbgAZVPFJ (Brandenburg) — Einsatz in Katastrophen- und Unglücksfällen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Abweichungen</w:t>
      </w:r>
    </w:p>
    <w:p>
      <w:r>
        <w:t xml:space="preserve">von den Regelungen dieser Verordnung sind in Katastrophen- und besonders</w:t>
      </w:r>
    </w:p>
    <w:p>
      <w:r>
        <w:t xml:space="preserve">schweren Unglücksfällen sowie in Einsatzsituationen, die die Beamten in</w:t>
      </w:r>
    </w:p>
    <w:p>
      <w:r>
        <w:t xml:space="preserve">außergewöhnlichem Maße in Anspruch nehmen, zulässig, soweit dies aus zwingenden</w:t>
      </w:r>
    </w:p>
    <w:p>
      <w:r>
        <w:t xml:space="preserve">dienstlichen Gründen erforderlich ist. Die größtmögliche Sicherheit und ein</w:t>
      </w:r>
    </w:p>
    <w:p>
      <w:r>
        <w:t xml:space="preserve">größtmöglicher Gesundheitsschutz der Beamten sind zu gewährleisten. Die</w:t>
      </w:r>
    </w:p>
    <w:p>
      <w:r>
        <w:t xml:space="preserve">Dienststellen haben in diesen Fällen gleichwertige Ausgleichsruhezeiten zu</w:t>
      </w:r>
    </w:p>
    <w:p>
      <w:r>
        <w:t xml:space="preserve">gewährleisten.</w:t>
      </w:r>
    </w:p>
    <w:p>
      <w:r>
        <w:rPr>
          <w:color w:val="555555"/>
          <w:sz w:val="17"/>
        </w:rPr>
        <w:t xml:space="preserve">Zitiervorschlag: § 14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