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BbgAZVPFJ (Brandenburg) — Bereitschaftsdienst, Rufbereitschaft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Durch</w:t>
      </w:r>
    </w:p>
    <w:p>
      <w:r>
        <w:t xml:space="preserve">Bereitschaftsdienst nach § 76 Absatz 3 Satz 1 des Landesbeamtengesetzes darf in</w:t>
      </w:r>
    </w:p>
    <w:p>
      <w:r>
        <w:t xml:space="preserve">einem Bezugszeitraum von vier Monaten die durchschnittliche Arbeitszeit 48</w:t>
      </w:r>
    </w:p>
    <w:p>
      <w:r>
        <w:t xml:space="preserve">Stunden im Siebentageszeitraum nicht überschritten werden.</w:t>
      </w:r>
    </w:p>
    <w:p>
      <w:r>
        <w:t xml:space="preserve">(2) Müssen die Beamten auf Anordnung außerhalb der regelmäßigen Arbeitszeit mehr als</w:t>
      </w:r>
    </w:p>
    <w:p>
      <w:r>
        <w:t xml:space="preserve">zehn Stunden Rufbereitschaft im Kalendermonat leisten, so ist die gesamte Zeit</w:t>
      </w:r>
    </w:p>
    <w:p>
      <w:r>
        <w:t xml:space="preserve">der Rufbereitschaft zu einem Achtel durch Freizeitgewährung auszugleichen.</w:t>
      </w:r>
    </w:p>
    <w:p>
      <w:r>
        <w:t xml:space="preserve">Werden die Beamten während der Rufbereitschaft dienstlich</w:t>
      </w:r>
    </w:p>
    <w:p>
      <w:r>
        <w:t xml:space="preserve">tätig, so ist die Zeit der dienstlichen Tätigkeit in vollem Umfang auf die</w:t>
      </w:r>
    </w:p>
    <w:p>
      <w:r>
        <w:t xml:space="preserve">Arbeitszeit anzurechnen.</w:t>
      </w:r>
    </w:p>
    <w:p>
      <w:r>
        <w:rPr>
          <w:color w:val="555555"/>
          <w:sz w:val="17"/>
        </w:rPr>
        <w:t xml:space="preserve">Zitiervorschlag: § 13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