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BbgAZVPFJ (Brandenburg) — Geltungsbereich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</w:t>
      </w:r>
    </w:p>
    <w:p>
      <w:r>
        <w:t xml:space="preserve">Verordnung gilt für die in den §§ 109, 117 und 118 des Landesbeamtengesetzes</w:t>
      </w:r>
    </w:p>
    <w:p>
      <w:r>
        <w:t xml:space="preserve">genannten Beamten.</w:t>
      </w:r>
    </w:p>
    <w:p>
      <w:r>
        <w:t xml:space="preserve">(2) Die in</w:t>
      </w:r>
    </w:p>
    <w:p>
      <w:r>
        <w:t xml:space="preserve">dieser Verordnung verwendeten Funktions-, Status- und anderen Bezeichnungen</w:t>
      </w:r>
    </w:p>
    <w:p>
      <w:r>
        <w:t xml:space="preserve">gelten für Frauen und Männer.</w:t>
      </w:r>
    </w:p>
    <w:p>
      <w:r>
        <w:rPr>
          <w:color w:val="555555"/>
          <w:sz w:val="17"/>
        </w:rPr>
        <w:t xml:space="preserve">Zitiervorschlag: § 1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