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BbgAUA-AnerkV (Brandenburg) — Übergangsregelung</w:t>
      </w:r>
    </w:p>
    <w:p>
      <w:r>
        <w:rPr>
          <w:color w:val="555555"/>
          <w:sz w:val="18"/>
        </w:rPr>
        <w:t xml:space="preserve">Brandenburgische Angebotsanerkennungsverordnung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auf der Grundlage der Angebotsanerkennungsverordnung vom 4. Januar 2016 ( GVBl. II Nr. 1) erteilte Anerkennung von niedrigschwelligen Betreuungs- und Entlastungsangeboten gilt bis zum Ablauf der im Bescheid festgelegten Frist als Anerkennung eines Angebots zur Unterstützung im Alltag fort.</w:t>
      </w:r>
    </w:p>
    <w:p>
      <w:r>
        <w:rPr>
          <w:color w:val="555555"/>
          <w:sz w:val="17"/>
        </w:rPr>
        <w:t xml:space="preserve">Zitiervorschlag: § 9 BbgAUA-AnerkV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https://recht.nulegal.eu/gesetze/BbgAUA-AnerkV/9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