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BbgAUA-AnerkV (Brandenburg) — Inkrafttreten, Außerkrafttreten</w:t>
      </w:r>
    </w:p>
    <w:p>
      <w:r>
        <w:rPr>
          <w:color w:val="555555"/>
          <w:sz w:val="18"/>
        </w:rPr>
        <w:t xml:space="preserve">Brandenburgische Angebotsanerkennungsverordnung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tritt die Angebotsanerkennungsverordnung vom 4. Januar 2016 (GVBl. II Nr. 1) außer Kraft.</w:t>
      </w:r>
    </w:p>
    <w:p>
      <w:r>
        <w:t xml:space="preserve">Potsdam, den 16. Dezember 2025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für Gesundheit und Soziales</w:t>
      </w:r>
    </w:p>
    <w:p>
      <w:r>
        <w:t xml:space="preserve">Britta Müller</w:t>
      </w:r>
    </w:p>
    <w:p>
      <w:r>
        <w:rPr>
          <w:color w:val="555555"/>
          <w:sz w:val="17"/>
        </w:rPr>
        <w:t xml:space="preserve">Zitiervorschlag: § 10 BbgAUA-AnerkV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https://recht.nulegal.eu/gesetze/BbgAUA-AnerkV/10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