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BbgAPOhtD (Brandenburg) — Sondervorschriften der Fachrichtung Maschinen- und Elektrotechnik in der Verwaltung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Zulassungsvoraussetzung für das technische Referendariat ist unter den Vorgaben von § 2 der erfolgreiche Abschluss eines wissenschaftlichen Studiums oder eine vergleichbare Kombination von Studiengängen an einer technischen Hochschule oder Universität oder an einer Hochschule mit gleichwertigem, wissenschaftlichem Studienangebot im Laufbahnzweig</w:t>
      </w:r>
    </w:p>
    <w:p>
      <w:r>
        <w:t xml:space="preserve">Maschinenbau,</w:t>
      </w:r>
    </w:p>
    <w:p>
      <w:r>
        <w:t xml:space="preserve">Elektrotechnik,</w:t>
      </w:r>
    </w:p>
    <w:p>
      <w:r>
        <w:t xml:space="preserve">Versorgungstechnik,</w:t>
      </w:r>
    </w:p>
    <w:p>
      <w:r>
        <w:t xml:space="preserve">Wirtschaftsingenieurwesen mit technischen Vertiefungen in den vorgenannten Fachrichtungen,</w:t>
      </w:r>
    </w:p>
    <w:p>
      <w:r>
        <w:t xml:space="preserve">oder auf der Basis von Mathematik, Physik, Chemie, Mechanik vergleichbare Studiengänge.</w:t>
      </w:r>
    </w:p>
    <w:p>
      <w:r>
        <w:t xml:space="preserve">Einzelne Vorgaben zum Wissensspektrum (Studieninhalte) werden bei Bedarf festgelegt.</w:t>
      </w:r>
    </w:p>
    <w:p>
      <w:r>
        <w:t xml:space="preserve">(2) Ausbildungsbehörde (§ 5 Absatz 1) ist der Brandenburgische Landesbetrieb für Liegenschaften und Bauen.</w:t>
      </w:r>
    </w:p>
    <w:p>
      <w:r>
        <w:t xml:space="preserve">(3) Die Ausbildung gliedert sich in mehrere Ausbildungsabschnitte. Die Dauer der Ausbildungsabschnitte, sonstige Vorschriften für die Ausbildung und der Ausbildungsplan sind in Anlage 8a geregelt.</w:t>
      </w:r>
    </w:p>
    <w:p>
      <w:r>
        <w:t xml:space="preserve">(4) Die Prüfungsfächer nach § 17 Absatz 3 und § 18 Absatz 4, die fächerbezogenen Prüfungszeiten in der mündlichen Prüfung und das Prüfstoffverzeichnis sind in Anlage 8b und c geregelt.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29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