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BbgAPOhtD (Brandenburg) — Sondervorschriften der Fachrichtung Architektur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Zulassungsvoraussetzung für das technische Referendariat ist unter den Vorgaben von § 2 der erfolgreiche Abschluss eines wissenschaftlichen Studiums des Studienganges Architektur. Eine Zulassung für das technische Referendariat ist grundsätzlich nur dann möglich, wenn das nachfolgend aufgeführte Wissensspektrum (Studieninhalte) nachgewiesen wird:</w:t>
      </w:r>
    </w:p>
    <w:p>
      <w:r>
        <w:t xml:space="preserve">Allgemeine Fächer:</w:t>
      </w:r>
    </w:p>
    <w:p>
      <w:r>
        <w:t xml:space="preserve">Architektur- und Stadtbaugeschichte</w:t>
      </w:r>
    </w:p>
    <w:p>
      <w:r>
        <w:t xml:space="preserve">Planungs- und Architekturtheorie</w:t>
      </w:r>
    </w:p>
    <w:p>
      <w:r>
        <w:t xml:space="preserve">Rechtliche und ökonomische Grundlagen der Stadt- und Objektplanung</w:t>
      </w:r>
    </w:p>
    <w:p>
      <w:r>
        <w:t xml:space="preserve">Kostenermittlung</w:t>
      </w:r>
    </w:p>
    <w:p>
      <w:r>
        <w:t xml:space="preserve">Projektorganisation</w:t>
      </w:r>
    </w:p>
    <w:p>
      <w:r>
        <w:t xml:space="preserve">Gestaltung und Darstellung:</w:t>
      </w:r>
    </w:p>
    <w:p>
      <w:r>
        <w:t xml:space="preserve">Darstellende Geometrie und Technische Darstellung</w:t>
      </w:r>
    </w:p>
    <w:p>
      <w:r>
        <w:t xml:space="preserve">Künstlerische und funktionsorientierte Gestaltung</w:t>
      </w:r>
    </w:p>
    <w:p>
      <w:r>
        <w:t xml:space="preserve">Künstlerische Darstellung und Entwurfspräsentation</w:t>
      </w:r>
    </w:p>
    <w:p>
      <w:r>
        <w:t xml:space="preserve">Informations- und datentechnische Architekturdarstellung (CAD)</w:t>
      </w:r>
    </w:p>
    <w:p>
      <w:r>
        <w:t xml:space="preserve">Konstruktionsplanung:</w:t>
      </w:r>
    </w:p>
    <w:p>
      <w:r>
        <w:t xml:space="preserve">Konstruktionslehre</w:t>
      </w:r>
    </w:p>
    <w:p>
      <w:r>
        <w:t xml:space="preserve">Methoden des Konstruierens</w:t>
      </w:r>
    </w:p>
    <w:p>
      <w:r>
        <w:t xml:space="preserve">Baukonstruktion</w:t>
      </w:r>
    </w:p>
    <w:p>
      <w:r>
        <w:t xml:space="preserve">Tragwerkslehre</w:t>
      </w:r>
    </w:p>
    <w:p>
      <w:r>
        <w:t xml:space="preserve">Bauphysik</w:t>
      </w:r>
    </w:p>
    <w:p>
      <w:r>
        <w:t xml:space="preserve">Baustoffkunde</w:t>
      </w:r>
    </w:p>
    <w:p>
      <w:r>
        <w:t xml:space="preserve">Technische Gebäudeausrüstung</w:t>
      </w:r>
    </w:p>
    <w:p>
      <w:r>
        <w:t xml:space="preserve">Gebäudeplanung:</w:t>
      </w:r>
    </w:p>
    <w:p>
      <w:r>
        <w:t xml:space="preserve">Gebäudelehre</w:t>
      </w:r>
    </w:p>
    <w:p>
      <w:r>
        <w:t xml:space="preserve">Entwurfsmethodik</w:t>
      </w:r>
    </w:p>
    <w:p>
      <w:r>
        <w:t xml:space="preserve">Bauaufnahme</w:t>
      </w:r>
    </w:p>
    <w:p>
      <w:r>
        <w:t xml:space="preserve">Objektplanung</w:t>
      </w:r>
    </w:p>
    <w:p>
      <w:r>
        <w:t xml:space="preserve">Grundzüge der Stadtplanung und des Städtebaues</w:t>
      </w:r>
    </w:p>
    <w:p>
      <w:r>
        <w:t xml:space="preserve">(2) Ausbildungsbehörde (§ 5 Absatz 1) ist der Brandenburgische Landesbetrieb für Liegenschaften und Bauen.</w:t>
      </w:r>
    </w:p>
    <w:p>
      <w:r>
        <w:t xml:space="preserve">(3) Die Ausbildung gliedert sich in mehrere Ausbildungsabschnitte. Die Dauer der Ausbildungsabschnitte, sonstige Vorschriften für die Ausbildung und der Ausbildungsplan sind in Anlage 6a geregelt.</w:t>
      </w:r>
    </w:p>
    <w:p>
      <w:r>
        <w:t xml:space="preserve">(4) Die Prüfungsfächer nach § 17 Absatz 3 und § 18 Absatz 4, die fächerbezogenen Prüfungszeiten in der mündlichen Prüfung und das Prüfstoffverzeichnis sind in Anlage 6b und c geregelt.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27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