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BbgAPOhtD (Brandenburg) — Abschließende Bewertung, Gesamturteil</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Punktzahlen und Noten der angenommenen häuslichen Prüfungsarbeit und der schriftlichen Arbeiten unter Aufsicht sowie die der Leistungen in jedem Prüfungsfach der mündlichen Prüfung werden unabhängig voneinander von der zuständigen Prüfungskommission als Einzelnoten festgesetzt. Die Prüfungskommission entscheidet mit Stimmenmehrheit (§ 13 Absatz 6).</w:t>
      </w:r>
    </w:p>
    <w:p>
      <w:r>
        <w:t xml:space="preserve">(2) Für die Bildung des für das Gesamturteil maßgebenden Mittelwertes wird</w:t>
      </w:r>
    </w:p>
    <w:p>
      <w:r>
        <w:t xml:space="preserve">die Punktzahl der häuslichen Prüfungsarbeit</w:t>
      </w:r>
    </w:p>
    <w:p>
      <w:r>
        <w:t xml:space="preserve">mit zwei (= 20 Prozent),</w:t>
      </w:r>
    </w:p>
    <w:p>
      <w:r>
        <w:t xml:space="preserve">die Durchschnittspunktzahl aller schriftlichen Arbeiten unter Aufsicht</w:t>
      </w:r>
    </w:p>
    <w:p>
      <w:r>
        <w:t xml:space="preserve">mit drei (= 30 Prozent) und</w:t>
      </w:r>
    </w:p>
    <w:p>
      <w:r>
        <w:t xml:space="preserve">die Durchschnittspunktzahl aller Fächer der mündlichen Prüfung</w:t>
      </w:r>
    </w:p>
    <w:p>
      <w:r>
        <w:t xml:space="preserve">mit fünf (= 50 Prozent)</w:t>
      </w:r>
    </w:p>
    <w:p>
      <w:r>
        <w:t xml:space="preserve">multipliziert und die hieraus gebildete Summe durch zehn dividiert. Eine dritte Stelle hinter dem Komma wird bei allen Rechenvorgängen nicht berücksichtigt.</w:t>
      </w:r>
    </w:p>
    <w:p>
      <w:r>
        <w:t xml:space="preserve">(3) Für das Gesamturteil gelten die folgenden Noten:</w:t>
      </w:r>
    </w:p>
    <w:p>
      <w:r>
        <w:t xml:space="preserve">sehr gut;</w:t>
      </w:r>
    </w:p>
    <w:p>
      <w:r>
        <w:t xml:space="preserve">gut;</w:t>
      </w:r>
    </w:p>
    <w:p>
      <w:r>
        <w:t xml:space="preserve">vollbefriedigend;</w:t>
      </w:r>
    </w:p>
    <w:p>
      <w:r>
        <w:t xml:space="preserve">befriedigend;</w:t>
      </w:r>
    </w:p>
    <w:p>
      <w:r>
        <w:t xml:space="preserve">ausreichend;</w:t>
      </w:r>
    </w:p>
    <w:p>
      <w:r>
        <w:t xml:space="preserve">nicht bestanden.</w:t>
      </w:r>
    </w:p>
    <w:p>
      <w:r>
        <w:t xml:space="preserve">(4) Das Staatsexamen ist bestanden mit</w:t>
      </w:r>
    </w:p>
    <w:p>
      <w:r>
        <w:t xml:space="preserve">dem „Prädikat sehr gut“</w:t>
      </w:r>
    </w:p>
    <w:p>
      <w:r>
        <w:t xml:space="preserve">bei einem Mittelwert von 1,00 bis 1,49,</w:t>
      </w:r>
    </w:p>
    <w:p>
      <w:r>
        <w:t xml:space="preserve">dem „Prädikat gut“</w:t>
      </w:r>
    </w:p>
    <w:p>
      <w:r>
        <w:t xml:space="preserve">bei einem Mittelwert von 1,50 bis 2,29,</w:t>
      </w:r>
    </w:p>
    <w:p>
      <w:r>
        <w:t xml:space="preserve">dem „Prädikat vollbefriedigend“</w:t>
      </w:r>
    </w:p>
    <w:p>
      <w:r>
        <w:t xml:space="preserve">bei einem Mittelwert von 2,30 bis 2,99,</w:t>
      </w:r>
    </w:p>
    <w:p>
      <w:r>
        <w:t xml:space="preserve">„befriedigend“</w:t>
      </w:r>
    </w:p>
    <w:p>
      <w:r>
        <w:t xml:space="preserve">bei einem Mittelwert von 3,00 bis 3,49,</w:t>
      </w:r>
    </w:p>
    <w:p>
      <w:r>
        <w:t xml:space="preserve">„ausreichend“</w:t>
      </w:r>
    </w:p>
    <w:p>
      <w:r>
        <w:t xml:space="preserve">bei einem Mittelwert von 3,50 bis 4,00.</w:t>
      </w:r>
    </w:p>
    <w:p>
      <w:r>
        <w:t xml:space="preserve">(5) Das Staatsexamen ist nicht bestanden, wenn</w:t>
      </w:r>
    </w:p>
    <w:p>
      <w:r>
        <w:t xml:space="preserve">die häusliche Prüfungsarbeit nicht angenommen ist (§ 16 Absatz 6) oder</w:t>
      </w:r>
    </w:p>
    <w:p>
      <w:r>
        <w:t xml:space="preserve">der nach Absatz 2 errechnete Mittelwert 4.01 oder schlechter lautet oder</w:t>
      </w:r>
    </w:p>
    <w:p>
      <w:r>
        <w:t xml:space="preserve">die Noten in zwei Prüfungsfächern der schriftlichen Arbeiten unter Aufsicht „mangelhaft“ sind oder</w:t>
      </w:r>
    </w:p>
    <w:p>
      <w:r>
        <w:t xml:space="preserve">die Note in einem Prüfungsfach der schriftlichen Arbeiten unter Aufsicht „mangelhaft“ ist und dabei die Durchschnittspunktzahl aller schriftlichen Arbeiten unter Aufsicht 4.01 oder schlechter lautet oder</w:t>
      </w:r>
    </w:p>
    <w:p>
      <w:r>
        <w:t xml:space="preserve">die Noten in drei Prüfungsfächern der mündlichen Prüfung „mangelhaft“ sind oder</w:t>
      </w:r>
    </w:p>
    <w:p>
      <w:r>
        <w:t xml:space="preserve">die Noten in bis zu zwei Prüfungsfächern der mündlichen Prüfung „mangelhaft“ sind und nicht durch andere Noten in Fächern der mündlichen Prüfung ausgeglichen werden; ein Ausgleich ist je Prüfungsfach durch zwei Noten „befriedigend“ oder „vollbefriedigend“ oder eine Note „gut“ oder „sehr gut“ gegeben.</w:t>
      </w:r>
    </w:p>
    <w:p>
      <w:r>
        <w:t xml:space="preserve">(6) Das Staatsexamen gilt als nicht bestanden, wenn die Referendarin oder der Referendar</w:t>
      </w:r>
    </w:p>
    <w:p>
      <w:r>
        <w:t xml:space="preserve">die häusliche Prüfungsarbeit nicht rechtzeitig einreicht oder ohne vom Oberprüfungsamt anerkannten Grund zu den schriftlichen Arbeiten unter Aufsicht oder zur mündlichen Prüfung nicht erscheint oder einen dieser Prüfungsteile abbricht (§ 19 Absatz 1) oder</w:t>
      </w:r>
    </w:p>
    <w:p>
      <w:r>
        <w:t xml:space="preserve">nach § 24 Absatz 1 oder 2 von der weiteren Teilnahme an der Prüfung ausgeschlossen ist.</w:t>
      </w:r>
    </w:p>
    <w:p>
      <w:r>
        <w:t xml:space="preserve">(7) Über den Prüfungshergang ist eine Niederschrift anzufertigen, in der die Besetzung der zuständigen Prüfungskommission, der Name der Referendarin oder des Referendars, die Einzelnoten der schriftlichen Arbeiten unter Aufsicht und der mündlichen Prüfung, die Gesamtnote und die Bewertung des Vortrags festgehalten werden. Die Niederschrift ist von der oder dem Vorsitzenden der zuständigen Prüfungskommission und den an der mündlichen Prüfung beteiligten Prüferinnen und Prüfern zu unterzeichnen. Sie ist wie die schriftlichen Bewertungen der häuslichen Prüfungsarbeit und der schriftlichen Arbeiten unter Aufsicht Bestandteil der Prüfungsakten.</w:t>
      </w:r>
    </w:p>
    <w:p>
      <w:r>
        <w:t xml:space="preserve">(8) Im Anschluss an die mündliche Prüfung wird der Referendarin oder dem Referendar das Ergebnis des Staatsexamens bekanntgegeben.</w:t>
      </w:r>
    </w:p>
    <w:p>
      <w:r>
        <w:t xml:space="preserve">(9) Bei Nichtbestehen des Staatsexamens erhält die Referendarin oder der Referendar hierüber vom Oberprüfungsamt einen Bescheid mit Rechtsbehelfsbelehrung.</w:t>
      </w:r>
    </w:p>
    <w:p>
      <w:r>
        <w:t xml:space="preserve">Einzelnorm</w:t>
      </w:r>
    </w:p>
    <w:p>
      <w:r>
        <w:rPr>
          <w:color w:val="555555"/>
          <w:sz w:val="17"/>
        </w:rPr>
        <w:t xml:space="preserve">Zitiervorschlag: § 21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