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BbgAPOhtD (Brandenburg) — Schriftliche Arbeiten unter Aufsicht</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Referendarin oder der Referendar soll durch die schriftlichen Arbeiten unter Aufsicht zeigen, dass sie oder er Aufgaben rasch und sicher erfassen, in kurzer Frist mit den zugelassenen Hilfsmitteln lösen und das Ergebnis knapp und übersichtlich darstellen kann. Managementaspekte sollen in der Aufgabenstellung einen hohen Stellenwert erhalten.</w:t>
      </w:r>
    </w:p>
    <w:p>
      <w:r>
        <w:t xml:space="preserve">(2) Ist die häusliche Prüfungsarbeit angenommen worden (§ 16 Absatz 6), so wird die Referendarin oder der Referendar vom Oberprüfungsamt zu den schriftlichen Arbeiten unter Aufsicht spätestens zwei Wochen vorher unter Angabe von Zeit und Ort ihrer Fertigung geladen.</w:t>
      </w:r>
    </w:p>
    <w:p>
      <w:r>
        <w:t xml:space="preserve">(3) Insgesamt ist an vier aufeinander folgenden Werktagen aus vier Prüfungsfächern je eine schriftliche Arbeit unter Aufsicht in jeweils sechs Stunden zu fertigen. Mindestens eine schriftliche Arbeit unter Aufsicht ist dabei aus den Prüfungsfächern Allgemeine Rechts- und Verwaltungsgrundlagen oder Führungsaufgaben und Wirtschaftlichkeit zu stellen. Die zugelassenen Hilfsmittel werden in der Regel zur Verfügung gestellt. Wenn die Referendarin oder der Referendar selbst Hilfsmittel mitbringen soll, werden diese in der Ladung nach Absatz 2 ausdrücklich benannt. Andere mitgeführte Hilfsmittel sind vor Aushändigung der Aufgabe bei der Aufsicht führenden Person zu hinterlegen.</w:t>
      </w:r>
    </w:p>
    <w:p>
      <w:r>
        <w:t xml:space="preserve">(4) Das Oberprüfungsamt leitet die Aufgaben in verschlossenen Umschlägen der Ausbildungsbehörde zu. Diese gibt sie einzeln ungeöffnet am Fertigungstag an die Aufsicht führende Person weiter, die sie zu Beginn der Prüfung der Referendarin oder dem Referendar aushändigt. Mit der Aufsicht soll eine Bedienstete oder ein Bediensteter beauftragt werden, die oder der das technische Referendariat durchlaufen und das Staatsexamen erfolgreich abgelegt hat.</w:t>
      </w:r>
    </w:p>
    <w:p>
      <w:r>
        <w:t xml:space="preserve">(5) Spätestens mit Ablauf der Bearbeitungsfrist hat die Referendarin oder der Referendar die schriftliche Arbeit unter Aufsicht unterschrieben und mit allen Zwischenrechnungen und Konzepten sowie dem Aufgabentext der Aufsicht führenden Person abzugeben.</w:t>
      </w:r>
    </w:p>
    <w:p>
      <w:r>
        <w:t xml:space="preserve">(6) Die schriftlichen Arbeiten unter Aufsicht werden grundsätzlich mit PC bearbeitet, wenn die oder der Vorsitzende des Prüfungsausschusses dem grundsätzlich zustimmt und die Ausbildungsbehörde für die Prüfung eine anforderungsgerechte Ausstattung gewährleistet. Die Referendarin oder der Referendar kann auf Antrag bei ihrer oder seiner Ausbildungsbehörde eine handschriftliche Bearbeitung verlangen.</w:t>
      </w:r>
    </w:p>
    <w:p>
      <w:r>
        <w:t xml:space="preserve">(7) Über den Verlauf der schriftlichen Arbeiten unter Aufsicht fertigt die Aufsicht führende Person jeweils eine Niederschrift unter Verwendung des vom Oberprüfungsamt dafür vorgesehenen Formulars an. Die Niederschriften sind zu sammeln und am letzten Fertigungstag dem Oberprüfungsamt zu übersenden. Die gefertigten Arbeiten sind noch am jeweiligen Fertigungstag zusammen mit den Aufgabentexten mit Einlieferungsnachweis der Erstprüferin oder dem Erstprüfer, wie vom Oberprüfungsamt benannt, zur Bewertung zuzuleiten.</w:t>
      </w:r>
    </w:p>
    <w:p>
      <w:r>
        <w:t xml:space="preserve">(8) Sind die schriftlichen Arbeiten unter Aufsicht als nicht bestanden bewertet (§ 21 Absatz 5 und 6), wird die Referendarin oder der Referendar nicht zur mündlichen Prüfung zugelassen. Die Entscheidung trifft das Oberprüfungsamt aufgrund der Bewertungen nach § 20. Wird die Referendarin oder der Referendar nicht zugelassen, ist das Staatsexamen nicht bestanden.</w:t>
      </w:r>
    </w:p>
    <w:p>
      <w:r>
        <w:t xml:space="preserve">Einzelnorm</w:t>
      </w:r>
    </w:p>
    <w:p>
      <w:r>
        <w:rPr>
          <w:color w:val="555555"/>
          <w:sz w:val="17"/>
        </w:rPr>
        <w:t xml:space="preserve">Zitiervorschlag: § 17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