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BbgAGSchKG (Brandenburg) — Zweck des Gesetzes</w:t>
      </w:r>
    </w:p>
    <w:p>
      <w:r>
        <w:rPr>
          <w:color w:val="555555"/>
          <w:sz w:val="18"/>
        </w:rPr>
        <w:t xml:space="preserve">Brandenburgisches Gesetz zur Ausführung des Schwangerschaftskonfliktgesetzes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Zweck dieses Gesetzes ist es, ein ausreichendes plurales Angebot wohnortnaher Beratungsstellen für die Schwangerschaftsberatung und die Schwangerschaftskonfliktberatung nach den §§ 3 und 8 des Schwangerschaftskonfliktgesetzes in freier und kommunaler Trägerschaft und durch Ärztinnen und Ärzte sicherzustellen.</w:t>
      </w:r>
    </w:p>
    <w:p>
      <w:r>
        <w:t xml:space="preserve">(2) Dieses Gesetz regelt die öffentliche Förderung von Beratungsstellen nach § 4 des Schwangerschaftskonfliktgesetzes.</w:t>
      </w:r>
    </w:p>
    <w:p>
      <w:r>
        <w:rPr>
          <w:color w:val="555555"/>
          <w:sz w:val="17"/>
        </w:rPr>
        <w:t xml:space="preserve">Zitiervorschlag: § 1 BbgAGSchKG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https://recht.nulegal.eu/gesetze/BbgAGSchKG/1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