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BbgAGBtOG (Brandenburg) — Evaluation</w:t>
      </w:r>
    </w:p>
    <w:p>
      <w:r>
        <w:rPr>
          <w:color w:val="555555"/>
          <w:sz w:val="18"/>
        </w:rPr>
        <w:t xml:space="preserve">Brandenburgisches Betreuungsorganisationsausführungsgesetz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Das für Soziales zuständige Mitglied der Landesregierung evaluiert bis zum 31. Dezember 2026 die Anwendung und Auswirkungen der Modellprojekte nach § 4 und den Finanzierungsanspruch der Betreuungsvereine nach § 6. Es berichtet dem Landtag bis zum 30. Juni 2027 über das Ergebnis der Evaluation.</w:t>
      </w:r>
    </w:p>
    <w:p>
      <w:r>
        <w:rPr>
          <w:color w:val="555555"/>
          <w:sz w:val="17"/>
        </w:rPr>
        <w:t xml:space="preserve">Zitiervorschlag: § 8 BbgAGBtOG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https://recht.nulegal.eu/gesetze/BbgAGBtOG/8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