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BbgAGBDG (Brandenburg) — Senat für Disziplinarsachen</w:t>
      </w:r>
    </w:p>
    <w:p>
      <w:r>
        <w:rPr>
          <w:color w:val="555555"/>
          <w:sz w:val="18"/>
        </w:rPr>
        <w:t xml:space="preserve">Gesetz zur Ausführung des Bundesdisziplinargesetzes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Für den Senat für Disziplinarsachen bei dem Oberverwaltungsgericht gilt § 1 entsprechend.</w:t>
      </w:r>
    </w:p>
    <w:p>
      <w:r>
        <w:rPr>
          <w:color w:val="555555"/>
          <w:sz w:val="17"/>
        </w:rPr>
        <w:t xml:space="preserve">Zitiervorschlag: § 2 BbgAGBDG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https://recht.nulegal.eu/gesetze/BbgAGBDG/2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